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611B3" w14:textId="6F4E9D66" w:rsidR="008819A9" w:rsidRPr="00086298" w:rsidRDefault="008819A9" w:rsidP="008819A9">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8</w:t>
      </w:r>
      <w:r w:rsidRPr="00086298">
        <w:rPr>
          <w:rFonts w:ascii="Arial" w:eastAsia="MS Mincho" w:hAnsi="Arial" w:cs="Arial" w:hint="eastAsia"/>
          <w:b/>
          <w:bCs/>
          <w:sz w:val="22"/>
          <w:lang w:val="en-GB"/>
        </w:rPr>
        <w:tab/>
      </w:r>
      <w:r w:rsidR="002A7102" w:rsidRPr="002A7102">
        <w:rPr>
          <w:rFonts w:ascii="Arial" w:eastAsia="MS Mincho" w:hAnsi="Arial" w:cs="Arial"/>
          <w:b/>
          <w:bCs/>
          <w:sz w:val="22"/>
          <w:lang w:val="en-GB"/>
        </w:rPr>
        <w:t>R2-2410815</w:t>
      </w:r>
      <w:bookmarkStart w:id="2" w:name="_GoBack"/>
      <w:bookmarkEnd w:id="2"/>
    </w:p>
    <w:p w14:paraId="10B1CF01" w14:textId="77777777" w:rsidR="008819A9" w:rsidRDefault="008819A9" w:rsidP="008819A9">
      <w:pPr>
        <w:widowControl/>
        <w:tabs>
          <w:tab w:val="left" w:pos="1701"/>
          <w:tab w:val="right" w:pos="9923"/>
        </w:tabs>
        <w:rPr>
          <w:rFonts w:ascii="Arial" w:eastAsia="宋体" w:hAnsi="Arial" w:cs="Arial"/>
          <w:b/>
          <w:bCs/>
          <w:kern w:val="0"/>
          <w:sz w:val="22"/>
          <w:lang w:eastAsia="en-US"/>
        </w:rPr>
      </w:pPr>
      <w:r w:rsidRPr="00F5184C">
        <w:rPr>
          <w:rFonts w:ascii="Arial" w:eastAsia="宋体" w:hAnsi="Arial" w:cs="Arial"/>
          <w:b/>
          <w:bCs/>
          <w:kern w:val="0"/>
          <w:sz w:val="22"/>
          <w:lang w:eastAsia="en-US"/>
        </w:rPr>
        <w:t>Orlando, USA, Nov. 18</w:t>
      </w:r>
      <w:r w:rsidRPr="00F5184C">
        <w:rPr>
          <w:rFonts w:ascii="Arial" w:eastAsia="宋体" w:hAnsi="Arial" w:cs="Arial"/>
          <w:b/>
          <w:bCs/>
          <w:kern w:val="0"/>
          <w:sz w:val="22"/>
          <w:vertAlign w:val="superscript"/>
          <w:lang w:eastAsia="en-US"/>
        </w:rPr>
        <w:t>th</w:t>
      </w:r>
      <w:r w:rsidRPr="00F5184C">
        <w:rPr>
          <w:rFonts w:ascii="Arial" w:eastAsia="宋体" w:hAnsi="Arial" w:cs="Arial"/>
          <w:b/>
          <w:bCs/>
          <w:kern w:val="0"/>
          <w:sz w:val="22"/>
          <w:lang w:eastAsia="en-US"/>
        </w:rPr>
        <w:t xml:space="preserve"> – 22</w:t>
      </w:r>
      <w:r w:rsidRPr="00F5184C">
        <w:rPr>
          <w:rFonts w:ascii="Arial" w:eastAsia="宋体" w:hAnsi="Arial" w:cs="Arial"/>
          <w:b/>
          <w:bCs/>
          <w:kern w:val="0"/>
          <w:sz w:val="22"/>
          <w:vertAlign w:val="superscript"/>
          <w:lang w:eastAsia="en-US"/>
        </w:rPr>
        <w:t>nd</w:t>
      </w:r>
      <w:r w:rsidRPr="00F5184C">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5E3007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3" w:name="Title"/>
      <w:bookmarkEnd w:id="3"/>
      <w:r w:rsidRPr="0037163A">
        <w:rPr>
          <w:rFonts w:ascii="Arial" w:eastAsia="MS Mincho" w:hAnsi="Arial" w:cs="Arial"/>
          <w:b/>
          <w:kern w:val="0"/>
          <w:sz w:val="22"/>
          <w:szCs w:val="24"/>
          <w:lang w:eastAsia="en-US"/>
        </w:rPr>
        <w:tab/>
      </w:r>
      <w:r w:rsidR="005D25A7" w:rsidRPr="005D25A7">
        <w:rPr>
          <w:rFonts w:ascii="Arial" w:eastAsia="MS Mincho" w:hAnsi="Arial" w:cs="Arial"/>
          <w:b/>
          <w:kern w:val="0"/>
          <w:sz w:val="22"/>
          <w:szCs w:val="24"/>
          <w:lang w:eastAsia="en-US"/>
        </w:rPr>
        <w:t>MRO for Rel-18 mobility features</w:t>
      </w:r>
    </w:p>
    <w:p w14:paraId="66EBB36C" w14:textId="1933D40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r>
      <w:r w:rsidR="004820B0" w:rsidRPr="004820B0">
        <w:rPr>
          <w:rFonts w:ascii="Arial" w:eastAsia="MS Mincho" w:hAnsi="Arial" w:cs="Arial"/>
          <w:b/>
          <w:kern w:val="0"/>
          <w:sz w:val="22"/>
          <w:szCs w:val="24"/>
          <w:lang w:eastAsia="en-US"/>
        </w:rPr>
        <w:t>8.10.2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4B498609" w14:textId="276549BA" w:rsidR="0094643F" w:rsidRDefault="00C1702C"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w:t>
      </w:r>
      <w:r w:rsidR="006A0E90">
        <w:rPr>
          <w:rFonts w:ascii="Times New Roman" w:eastAsia="MS Mincho" w:hAnsi="Times New Roman" w:cs="Times New Roman"/>
          <w:kern w:val="0"/>
          <w:sz w:val="20"/>
          <w:szCs w:val="20"/>
          <w:lang w:eastAsia="en-US"/>
        </w:rPr>
        <w:t>127</w:t>
      </w:r>
      <w:r w:rsidR="00F34812">
        <w:rPr>
          <w:rFonts w:ascii="Times New Roman" w:eastAsia="MS Mincho" w:hAnsi="Times New Roman" w:cs="Times New Roman"/>
          <w:kern w:val="0"/>
          <w:sz w:val="20"/>
          <w:szCs w:val="20"/>
          <w:lang w:eastAsia="en-US"/>
        </w:rPr>
        <w:t>bis</w:t>
      </w:r>
      <w:r w:rsidR="006A0E90">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 xml:space="preserve">meeting, </w:t>
      </w:r>
      <w:r w:rsidR="00CD3EC5">
        <w:rPr>
          <w:rFonts w:ascii="Times New Roman" w:eastAsia="MS Mincho" w:hAnsi="Times New Roman" w:cs="Times New Roman"/>
          <w:kern w:val="0"/>
          <w:sz w:val="20"/>
          <w:szCs w:val="20"/>
          <w:lang w:eastAsia="en-US"/>
        </w:rPr>
        <w:t xml:space="preserve">RAN2 reached the following agreements regarding the </w:t>
      </w:r>
      <w:r w:rsidR="00CD3EC5" w:rsidRPr="00CD3EC5">
        <w:rPr>
          <w:rFonts w:ascii="Times New Roman" w:eastAsia="MS Mincho" w:hAnsi="Times New Roman" w:cs="Times New Roman"/>
          <w:kern w:val="0"/>
          <w:sz w:val="20"/>
          <w:szCs w:val="20"/>
          <w:lang w:eastAsia="en-US"/>
        </w:rPr>
        <w:t>MRO for Rel-18 mobility features</w:t>
      </w:r>
      <w:r w:rsidR="00CD3EC5">
        <w:rPr>
          <w:rFonts w:ascii="Times New Roman" w:eastAsia="MS Mincho" w:hAnsi="Times New Roman" w:cs="Times New Roman"/>
          <w:kern w:val="0"/>
          <w:sz w:val="20"/>
          <w:szCs w:val="20"/>
          <w:lang w:eastAsia="en-US"/>
        </w:rPr>
        <w:t>:</w:t>
      </w:r>
    </w:p>
    <w:tbl>
      <w:tblPr>
        <w:tblStyle w:val="TableGrid2"/>
        <w:tblW w:w="0" w:type="auto"/>
        <w:tblInd w:w="-5" w:type="dxa"/>
        <w:tblLook w:val="04A0" w:firstRow="1" w:lastRow="0" w:firstColumn="1" w:lastColumn="0" w:noHBand="0" w:noVBand="1"/>
      </w:tblPr>
      <w:tblGrid>
        <w:gridCol w:w="9065"/>
      </w:tblGrid>
      <w:tr w:rsidR="00F34812" w:rsidRPr="00F34812" w14:paraId="4373A154" w14:textId="77777777" w:rsidTr="00F34812">
        <w:tc>
          <w:tcPr>
            <w:tcW w:w="9065" w:type="dxa"/>
          </w:tcPr>
          <w:p w14:paraId="5680BE88" w14:textId="77777777" w:rsidR="007201C8" w:rsidRDefault="007201C8" w:rsidP="007201C8">
            <w:pPr>
              <w:pStyle w:val="MiniHeading"/>
            </w:pPr>
            <w:r w:rsidRPr="002562FF">
              <w:t>LTM</w:t>
            </w:r>
          </w:p>
          <w:p w14:paraId="0819F3D5" w14:textId="77777777" w:rsidR="00F34812" w:rsidRPr="00F34812" w:rsidRDefault="00F34812" w:rsidP="00F34812">
            <w:pPr>
              <w:widowControl/>
              <w:tabs>
                <w:tab w:val="left" w:pos="1622"/>
              </w:tabs>
              <w:ind w:left="363" w:hanging="363"/>
              <w:jc w:val="left"/>
              <w:rPr>
                <w:rFonts w:ascii="Arial" w:eastAsia="MS Mincho" w:hAnsi="Arial"/>
                <w:szCs w:val="24"/>
                <w:lang w:val="en-GB" w:eastAsia="en-GB"/>
              </w:rPr>
            </w:pPr>
            <w:r w:rsidRPr="00F34812">
              <w:rPr>
                <w:rFonts w:ascii="Arial" w:eastAsia="MS Mincho" w:hAnsi="Arial"/>
                <w:szCs w:val="24"/>
                <w:lang w:val="en-GB" w:eastAsia="en-GB"/>
              </w:rPr>
              <w:t>Agreements</w:t>
            </w:r>
          </w:p>
          <w:p w14:paraId="66ABDE82" w14:textId="77777777" w:rsidR="00F34812" w:rsidRPr="00F34812" w:rsidRDefault="00F34812" w:rsidP="00F34812">
            <w:pPr>
              <w:widowControl/>
              <w:numPr>
                <w:ilvl w:val="0"/>
                <w:numId w:val="36"/>
              </w:numPr>
              <w:tabs>
                <w:tab w:val="left" w:pos="1622"/>
              </w:tabs>
              <w:jc w:val="left"/>
              <w:rPr>
                <w:rFonts w:ascii="Arial" w:eastAsia="MS Mincho" w:hAnsi="Arial"/>
                <w:szCs w:val="24"/>
                <w:lang w:val="en-GB" w:eastAsia="en-GB"/>
              </w:rPr>
            </w:pPr>
            <w:r w:rsidRPr="00F34812">
              <w:rPr>
                <w:rFonts w:ascii="Arial" w:eastAsia="MS Mincho" w:hAnsi="Arial"/>
                <w:szCs w:val="24"/>
                <w:lang w:val="en-GB" w:eastAsia="en-GB"/>
              </w:rPr>
              <w:t>The UE shall log cell IDs such as reestablishment cell ID, source, failed, reconnect cell ID, following the same principle as RLF, HOF and successful recovery, incl. the time between UE executing the LTM command and the failure.</w:t>
            </w:r>
          </w:p>
          <w:p w14:paraId="6A8420E7" w14:textId="77777777" w:rsidR="00F34812" w:rsidRPr="00F34812" w:rsidRDefault="00F34812" w:rsidP="00F34812">
            <w:pPr>
              <w:widowControl/>
              <w:numPr>
                <w:ilvl w:val="0"/>
                <w:numId w:val="36"/>
              </w:numPr>
              <w:tabs>
                <w:tab w:val="left" w:pos="1622"/>
              </w:tabs>
              <w:jc w:val="left"/>
              <w:rPr>
                <w:rFonts w:ascii="Arial" w:eastAsia="MS Mincho" w:hAnsi="Arial"/>
                <w:szCs w:val="24"/>
                <w:lang w:val="en-GB" w:eastAsia="en-GB"/>
              </w:rPr>
            </w:pPr>
            <w:r w:rsidRPr="00F34812">
              <w:rPr>
                <w:rFonts w:ascii="Arial" w:eastAsia="MS Mincho" w:hAnsi="Arial"/>
                <w:szCs w:val="24"/>
                <w:lang w:val="en-GB" w:eastAsia="en-GB"/>
              </w:rPr>
              <w:t>If RA-based LTM failure happens the UE logs and reports RACH info in the RLF report. Additional information is TBD.</w:t>
            </w:r>
          </w:p>
          <w:p w14:paraId="69EF2B89" w14:textId="77777777" w:rsidR="00F34812" w:rsidRPr="00F34812" w:rsidRDefault="00F34812" w:rsidP="00F34812">
            <w:pPr>
              <w:widowControl/>
              <w:numPr>
                <w:ilvl w:val="0"/>
                <w:numId w:val="36"/>
              </w:numPr>
              <w:tabs>
                <w:tab w:val="left" w:pos="1622"/>
              </w:tabs>
              <w:jc w:val="left"/>
              <w:rPr>
                <w:rFonts w:ascii="Arial" w:eastAsia="MS Mincho" w:hAnsi="Arial"/>
                <w:szCs w:val="24"/>
                <w:lang w:val="en-GB" w:eastAsia="en-GB"/>
              </w:rPr>
            </w:pPr>
            <w:r w:rsidRPr="00F34812">
              <w:rPr>
                <w:rFonts w:ascii="Arial" w:eastAsia="MS Mincho" w:hAnsi="Arial"/>
                <w:szCs w:val="24"/>
                <w:lang w:val="en-GB" w:eastAsia="en-GB"/>
              </w:rPr>
              <w:t>Unless RAN3 defines a NW-based solution: The UE logs and reports whether and how the UE got the TA value used for a failed LTM switch (</w:t>
            </w:r>
            <w:proofErr w:type="spellStart"/>
            <w:r w:rsidRPr="00F34812">
              <w:rPr>
                <w:rFonts w:ascii="Arial" w:eastAsia="MS Mincho" w:hAnsi="Arial"/>
                <w:szCs w:val="24"/>
                <w:lang w:val="en-GB" w:eastAsia="en-GB"/>
              </w:rPr>
              <w:t>gNB</w:t>
            </w:r>
            <w:proofErr w:type="spellEnd"/>
            <w:r w:rsidRPr="00F34812">
              <w:rPr>
                <w:rFonts w:ascii="Arial" w:eastAsia="MS Mincho" w:hAnsi="Arial"/>
                <w:szCs w:val="24"/>
                <w:lang w:val="en-GB" w:eastAsia="en-GB"/>
              </w:rPr>
              <w:t xml:space="preserve"> indicated or UE determined). </w:t>
            </w:r>
          </w:p>
          <w:p w14:paraId="443B3120" w14:textId="77777777" w:rsidR="00F34812" w:rsidRPr="00AB6D8D" w:rsidRDefault="00F34812" w:rsidP="00F34812">
            <w:pPr>
              <w:widowControl/>
              <w:numPr>
                <w:ilvl w:val="0"/>
                <w:numId w:val="36"/>
              </w:numPr>
              <w:tabs>
                <w:tab w:val="left" w:pos="1622"/>
              </w:tabs>
              <w:jc w:val="left"/>
              <w:rPr>
                <w:rFonts w:ascii="Arial" w:eastAsia="MS Mincho" w:hAnsi="Arial"/>
                <w:szCs w:val="24"/>
                <w:lang w:val="en-GB" w:eastAsia="en-GB"/>
              </w:rPr>
            </w:pPr>
            <w:r w:rsidRPr="00F34812">
              <w:rPr>
                <w:rFonts w:ascii="Arial" w:eastAsia="MS Mincho" w:hAnsi="Arial"/>
                <w:szCs w:val="24"/>
                <w:highlight w:val="yellow"/>
                <w:lang w:val="en-GB" w:eastAsia="en-GB"/>
              </w:rPr>
              <w:t>Include an explicit indicator in SHR whether the successful LTM execution was RACH-less or RACH-based.</w:t>
            </w:r>
            <w:r w:rsidRPr="00F34812">
              <w:rPr>
                <w:rFonts w:ascii="Arial" w:eastAsia="MS Mincho" w:hAnsi="Arial"/>
                <w:szCs w:val="24"/>
                <w:lang w:val="en-GB" w:eastAsia="en-GB"/>
              </w:rPr>
              <w:t xml:space="preserve"> Can sort out the details during stage-3 implementation.</w:t>
            </w:r>
          </w:p>
          <w:p w14:paraId="618149DC" w14:textId="77777777" w:rsidR="00C34CB1" w:rsidRDefault="00C34CB1" w:rsidP="00C34CB1">
            <w:pPr>
              <w:widowControl/>
              <w:tabs>
                <w:tab w:val="left" w:pos="1622"/>
              </w:tabs>
              <w:jc w:val="left"/>
              <w:rPr>
                <w:rFonts w:ascii="Arial" w:eastAsia="MS Mincho" w:hAnsi="Arial"/>
                <w:color w:val="FF0000"/>
                <w:szCs w:val="24"/>
                <w:lang w:val="en-GB" w:eastAsia="en-GB"/>
              </w:rPr>
            </w:pPr>
          </w:p>
          <w:p w14:paraId="37FB7269" w14:textId="77777777" w:rsidR="00C34CB1" w:rsidRPr="00C34CB1" w:rsidRDefault="00C34CB1" w:rsidP="00C34CB1">
            <w:pPr>
              <w:widowControl/>
              <w:tabs>
                <w:tab w:val="left" w:pos="1622"/>
              </w:tabs>
              <w:ind w:left="363" w:hanging="363"/>
              <w:jc w:val="left"/>
              <w:rPr>
                <w:rFonts w:ascii="Arial" w:eastAsia="MS Mincho" w:hAnsi="Arial"/>
                <w:szCs w:val="24"/>
                <w:lang w:val="en-GB" w:eastAsia="en-GB"/>
              </w:rPr>
            </w:pPr>
            <w:r w:rsidRPr="00C34CB1">
              <w:rPr>
                <w:rFonts w:ascii="Arial" w:eastAsia="MS Mincho" w:hAnsi="Arial"/>
                <w:szCs w:val="24"/>
                <w:lang w:val="en-GB" w:eastAsia="en-GB"/>
              </w:rPr>
              <w:t>Agreements</w:t>
            </w:r>
          </w:p>
          <w:p w14:paraId="4460F8CA" w14:textId="77777777" w:rsidR="00C34CB1" w:rsidRPr="00C34CB1" w:rsidRDefault="00C34CB1" w:rsidP="00C34CB1">
            <w:pPr>
              <w:widowControl/>
              <w:numPr>
                <w:ilvl w:val="0"/>
                <w:numId w:val="37"/>
              </w:numPr>
              <w:tabs>
                <w:tab w:val="left" w:pos="1622"/>
              </w:tabs>
              <w:jc w:val="left"/>
              <w:rPr>
                <w:rFonts w:ascii="Arial" w:eastAsia="MS Mincho" w:hAnsi="Arial"/>
                <w:szCs w:val="24"/>
                <w:lang w:val="en-GB" w:eastAsia="en-GB"/>
              </w:rPr>
            </w:pPr>
            <w:r w:rsidRPr="00C34CB1">
              <w:rPr>
                <w:rFonts w:ascii="Arial" w:eastAsia="MS Mincho" w:hAnsi="Arial"/>
                <w:szCs w:val="24"/>
                <w:lang w:val="en-GB" w:eastAsia="en-GB"/>
              </w:rPr>
              <w:t>Unless RAN3 defines a NW-based solution: Introduce an explicit indication in RLF-Report to indicate whether a neighbour cell is an LTM candidate cell.</w:t>
            </w:r>
          </w:p>
          <w:p w14:paraId="19031876" w14:textId="77777777" w:rsidR="00C34CB1" w:rsidRDefault="00C34CB1" w:rsidP="00C34CB1">
            <w:pPr>
              <w:widowControl/>
              <w:numPr>
                <w:ilvl w:val="0"/>
                <w:numId w:val="37"/>
              </w:numPr>
              <w:tabs>
                <w:tab w:val="left" w:pos="1622"/>
              </w:tabs>
              <w:jc w:val="left"/>
              <w:rPr>
                <w:rFonts w:ascii="Arial" w:eastAsia="MS Mincho" w:hAnsi="Arial"/>
                <w:szCs w:val="24"/>
                <w:lang w:val="en-GB" w:eastAsia="en-GB"/>
              </w:rPr>
            </w:pPr>
            <w:r w:rsidRPr="00C34CB1">
              <w:rPr>
                <w:rFonts w:ascii="Arial" w:eastAsia="MS Mincho" w:hAnsi="Arial"/>
                <w:szCs w:val="24"/>
                <w:lang w:val="en-GB" w:eastAsia="en-GB"/>
              </w:rPr>
              <w:t>UE logs available L1 measurement results for the serving cell, the target cell and other LTM candidate cells when a successful LTM cell switch triggers SHR.</w:t>
            </w:r>
          </w:p>
          <w:p w14:paraId="16A14851" w14:textId="77777777" w:rsidR="00C34CB1" w:rsidRDefault="00C34CB1" w:rsidP="00C34CB1">
            <w:pPr>
              <w:widowControl/>
              <w:tabs>
                <w:tab w:val="left" w:pos="1622"/>
              </w:tabs>
              <w:jc w:val="left"/>
              <w:rPr>
                <w:rFonts w:ascii="Arial" w:eastAsia="MS Mincho" w:hAnsi="Arial"/>
                <w:szCs w:val="24"/>
                <w:lang w:val="en-GB" w:eastAsia="en-GB"/>
              </w:rPr>
            </w:pPr>
          </w:p>
          <w:p w14:paraId="4F1EBCFC" w14:textId="77777777" w:rsidR="00C34CB1" w:rsidRPr="009E4591" w:rsidRDefault="00C34CB1" w:rsidP="00C34CB1">
            <w:pPr>
              <w:pStyle w:val="MiniHeading"/>
              <w:rPr>
                <w:lang w:val="en-GB"/>
              </w:rPr>
            </w:pPr>
            <w:r w:rsidRPr="009E4591">
              <w:rPr>
                <w:lang w:val="en-GB"/>
              </w:rPr>
              <w:t>CHO with candidate SCGs</w:t>
            </w:r>
          </w:p>
          <w:p w14:paraId="03DD36EE" w14:textId="77777777" w:rsidR="00C34CB1" w:rsidRPr="00C34CB1" w:rsidRDefault="00C34CB1" w:rsidP="00C34CB1">
            <w:pPr>
              <w:widowControl/>
              <w:tabs>
                <w:tab w:val="left" w:pos="1622"/>
              </w:tabs>
              <w:jc w:val="left"/>
              <w:rPr>
                <w:rFonts w:ascii="Arial" w:eastAsia="MS Mincho" w:hAnsi="Arial"/>
                <w:szCs w:val="24"/>
                <w:lang w:val="en-GB" w:eastAsia="en-GB"/>
              </w:rPr>
            </w:pPr>
            <w:r w:rsidRPr="00C34CB1">
              <w:rPr>
                <w:rFonts w:ascii="Arial" w:eastAsia="MS Mincho" w:hAnsi="Arial"/>
                <w:szCs w:val="24"/>
                <w:lang w:val="en-GB" w:eastAsia="en-GB"/>
              </w:rPr>
              <w:t>Agreements</w:t>
            </w:r>
          </w:p>
          <w:p w14:paraId="5890EF46" w14:textId="77777777" w:rsidR="00C34CB1" w:rsidRPr="00C34CB1" w:rsidRDefault="00C34CB1" w:rsidP="00C34CB1">
            <w:pPr>
              <w:widowControl/>
              <w:numPr>
                <w:ilvl w:val="0"/>
                <w:numId w:val="38"/>
              </w:numPr>
              <w:tabs>
                <w:tab w:val="left" w:pos="1622"/>
              </w:tabs>
              <w:jc w:val="left"/>
              <w:rPr>
                <w:rFonts w:ascii="Arial" w:eastAsia="MS Mincho" w:hAnsi="Arial"/>
                <w:szCs w:val="24"/>
                <w:lang w:val="en-GB" w:eastAsia="en-GB"/>
              </w:rPr>
            </w:pPr>
            <w:r w:rsidRPr="00C34CB1">
              <w:rPr>
                <w:rFonts w:ascii="Arial" w:eastAsia="MS Mincho" w:hAnsi="Arial"/>
                <w:szCs w:val="24"/>
                <w:lang w:val="en-GB" w:eastAsia="en-GB"/>
              </w:rPr>
              <w:t>UE reports the time gap between the first met condition (CHO or CPAC) and the second met condition (CPAC or CHO), and the first met execution condition (as agreed by RAN3), for a failed CHO with candidate SCGs. Details FFS.</w:t>
            </w:r>
          </w:p>
          <w:p w14:paraId="17661D02" w14:textId="4B382DB7" w:rsidR="00C34CB1" w:rsidRPr="00F34812" w:rsidRDefault="00C34CB1" w:rsidP="00C34CB1">
            <w:pPr>
              <w:widowControl/>
              <w:numPr>
                <w:ilvl w:val="0"/>
                <w:numId w:val="38"/>
              </w:numPr>
              <w:tabs>
                <w:tab w:val="left" w:pos="1622"/>
              </w:tabs>
              <w:jc w:val="left"/>
              <w:rPr>
                <w:rFonts w:ascii="Arial" w:eastAsia="MS Mincho" w:hAnsi="Arial"/>
                <w:szCs w:val="24"/>
                <w:lang w:val="en-GB" w:eastAsia="en-GB"/>
              </w:rPr>
            </w:pPr>
            <w:r w:rsidRPr="00C34CB1">
              <w:rPr>
                <w:rFonts w:ascii="Arial" w:eastAsia="MS Mincho" w:hAnsi="Arial"/>
                <w:szCs w:val="24"/>
                <w:lang w:val="en-GB" w:eastAsia="en-GB"/>
              </w:rPr>
              <w:t>Include the elapsed time between the point in time of the first fulfilled condition and RLF in RLF report. Details FFS.</w:t>
            </w:r>
          </w:p>
        </w:tc>
      </w:tr>
    </w:tbl>
    <w:p w14:paraId="5C0CE41D" w14:textId="2C1EFE8F"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6" w:name="_Hlk161928446"/>
      <w:r w:rsidR="00F40BEF">
        <w:rPr>
          <w:rFonts w:ascii="Times New Roman" w:eastAsia="MS Mincho" w:hAnsi="Times New Roman" w:cs="Times New Roman"/>
          <w:kern w:val="0"/>
          <w:sz w:val="20"/>
          <w:szCs w:val="20"/>
          <w:lang w:eastAsia="en-US"/>
        </w:rPr>
        <w:t xml:space="preserve">provide </w:t>
      </w:r>
      <w:r w:rsidR="00844715">
        <w:rPr>
          <w:rFonts w:ascii="Times New Roman" w:eastAsia="MS Mincho" w:hAnsi="Times New Roman" w:cs="Times New Roman"/>
          <w:kern w:val="0"/>
          <w:sz w:val="20"/>
          <w:szCs w:val="20"/>
          <w:lang w:eastAsia="en-US"/>
        </w:rPr>
        <w:t>further analysis of the remaining issues</w:t>
      </w:r>
      <w:r w:rsidR="00F606D4">
        <w:rPr>
          <w:rFonts w:ascii="Times New Roman" w:eastAsia="MS Mincho" w:hAnsi="Times New Roman" w:cs="Times New Roman"/>
          <w:kern w:val="0"/>
          <w:sz w:val="20"/>
          <w:szCs w:val="20"/>
          <w:lang w:eastAsia="en-US"/>
        </w:rPr>
        <w:t>.</w:t>
      </w:r>
    </w:p>
    <w:bookmarkEnd w:id="6"/>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633BE3D8" w14:textId="1BCEE0D6" w:rsidR="00B06EC9" w:rsidRDefault="00FC66B4" w:rsidP="00B06EC9">
      <w:pPr>
        <w:pStyle w:val="2"/>
        <w:numPr>
          <w:ilvl w:val="1"/>
          <w:numId w:val="3"/>
        </w:numPr>
        <w:spacing w:before="120"/>
        <w:ind w:left="567" w:hanging="567"/>
        <w:rPr>
          <w:b w:val="0"/>
          <w:sz w:val="28"/>
          <w:lang w:val="en-US"/>
        </w:rPr>
      </w:pPr>
      <w:r>
        <w:rPr>
          <w:b w:val="0"/>
          <w:sz w:val="28"/>
          <w:lang w:val="en-US"/>
        </w:rPr>
        <w:t>LTM</w:t>
      </w:r>
    </w:p>
    <w:p w14:paraId="290E5EA1" w14:textId="2500A96C" w:rsidR="008E0732" w:rsidRDefault="006C0258" w:rsidP="00500DF0">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RAN2#12</w:t>
      </w:r>
      <w:r w:rsidR="009B018D">
        <w:rPr>
          <w:rFonts w:ascii="Times New Roman" w:eastAsia="MS Mincho" w:hAnsi="Times New Roman" w:cs="Times New Roman"/>
          <w:kern w:val="0"/>
          <w:sz w:val="20"/>
          <w:szCs w:val="20"/>
          <w:lang w:eastAsia="en-US"/>
        </w:rPr>
        <w:t>7</w:t>
      </w:r>
      <w:r w:rsidR="008E0732">
        <w:rPr>
          <w:rFonts w:ascii="Times New Roman" w:eastAsia="MS Mincho" w:hAnsi="Times New Roman" w:cs="Times New Roman"/>
          <w:kern w:val="0"/>
          <w:sz w:val="20"/>
          <w:szCs w:val="20"/>
          <w:lang w:eastAsia="en-US"/>
        </w:rPr>
        <w:t>bis, it was agreed to i</w:t>
      </w:r>
      <w:r w:rsidR="008E0732" w:rsidRPr="008E0732">
        <w:rPr>
          <w:rFonts w:ascii="Times New Roman" w:eastAsia="MS Mincho" w:hAnsi="Times New Roman" w:cs="Times New Roman"/>
          <w:kern w:val="0"/>
          <w:sz w:val="20"/>
          <w:szCs w:val="20"/>
          <w:lang w:eastAsia="en-US"/>
        </w:rPr>
        <w:t>nclude an explicit indicator in SHR whether the successful LTM execution was RACH-less or RACH-based.</w:t>
      </w:r>
      <w:r w:rsidR="008E0732">
        <w:rPr>
          <w:rFonts w:ascii="Times New Roman" w:eastAsia="MS Mincho" w:hAnsi="Times New Roman" w:cs="Times New Roman"/>
          <w:kern w:val="0"/>
          <w:sz w:val="20"/>
          <w:szCs w:val="20"/>
          <w:lang w:eastAsia="en-US"/>
        </w:rPr>
        <w:t xml:space="preserve"> The agreement was made due to the SHR may</w:t>
      </w:r>
      <w:r w:rsidR="00F940A2">
        <w:rPr>
          <w:rFonts w:ascii="Times New Roman" w:eastAsia="MS Mincho" w:hAnsi="Times New Roman" w:cs="Times New Roman"/>
          <w:kern w:val="0"/>
          <w:sz w:val="20"/>
          <w:szCs w:val="20"/>
          <w:lang w:eastAsia="en-US"/>
        </w:rPr>
        <w:t xml:space="preserve"> be</w:t>
      </w:r>
      <w:r w:rsidR="008E0732">
        <w:rPr>
          <w:rFonts w:ascii="Times New Roman" w:eastAsia="MS Mincho" w:hAnsi="Times New Roman" w:cs="Times New Roman"/>
          <w:kern w:val="0"/>
          <w:sz w:val="20"/>
          <w:szCs w:val="20"/>
          <w:lang w:eastAsia="en-US"/>
        </w:rPr>
        <w:t xml:space="preserve"> triggered </w:t>
      </w:r>
      <w:r w:rsidR="007D2DA3">
        <w:rPr>
          <w:rFonts w:ascii="Times New Roman" w:eastAsia="MS Mincho" w:hAnsi="Times New Roman" w:cs="Times New Roman"/>
          <w:kern w:val="0"/>
          <w:sz w:val="20"/>
          <w:szCs w:val="20"/>
          <w:lang w:eastAsia="en-US"/>
        </w:rPr>
        <w:t xml:space="preserve">by the threshold rather than T304, e.g., triggered by T310/T312. For these cases, the RACH type (RA-based or RACH-less) </w:t>
      </w:r>
      <w:proofErr w:type="spellStart"/>
      <w:r w:rsidR="007D2DA3">
        <w:rPr>
          <w:rFonts w:ascii="Times New Roman" w:eastAsia="MS Mincho" w:hAnsi="Times New Roman" w:cs="Times New Roman"/>
          <w:kern w:val="0"/>
          <w:sz w:val="20"/>
          <w:szCs w:val="20"/>
          <w:lang w:eastAsia="en-US"/>
        </w:rPr>
        <w:t>can not</w:t>
      </w:r>
      <w:proofErr w:type="spellEnd"/>
      <w:r w:rsidR="007D2DA3">
        <w:rPr>
          <w:rFonts w:ascii="Times New Roman" w:eastAsia="MS Mincho" w:hAnsi="Times New Roman" w:cs="Times New Roman"/>
          <w:kern w:val="0"/>
          <w:sz w:val="20"/>
          <w:szCs w:val="20"/>
          <w:lang w:eastAsia="en-US"/>
        </w:rPr>
        <w:t xml:space="preserve"> be implicitly indicated based on the RA info in SHR since the RA info can only be included for the T304-triggered cases.</w:t>
      </w:r>
    </w:p>
    <w:p w14:paraId="257051FA" w14:textId="363323CA" w:rsidR="00D437E9" w:rsidRDefault="00D437E9"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owever, if the SHR is not triggered by T304 threshold, i.e., triggered by T310/T312 threshold, the RACH type is</w:t>
      </w:r>
      <w:r w:rsidR="00336178">
        <w:rPr>
          <w:rFonts w:ascii="Times New Roman" w:hAnsi="Times New Roman" w:cs="Times New Roman"/>
          <w:kern w:val="0"/>
          <w:sz w:val="20"/>
          <w:szCs w:val="20"/>
        </w:rPr>
        <w:t xml:space="preserve"> useless</w:t>
      </w:r>
      <w:r>
        <w:rPr>
          <w:rFonts w:ascii="Times New Roman" w:hAnsi="Times New Roman" w:cs="Times New Roman"/>
          <w:kern w:val="0"/>
          <w:sz w:val="20"/>
          <w:szCs w:val="20"/>
        </w:rPr>
        <w:t xml:space="preserve"> as the near failure is not due to RACH attempt to target but due to poor radio at source and</w:t>
      </w:r>
      <w:r w:rsidR="005A0C5A">
        <w:rPr>
          <w:rFonts w:ascii="Times New Roman" w:hAnsi="Times New Roman" w:cs="Times New Roman"/>
          <w:kern w:val="0"/>
          <w:sz w:val="20"/>
          <w:szCs w:val="20"/>
        </w:rPr>
        <w:t>/or</w:t>
      </w:r>
      <w:r>
        <w:rPr>
          <w:rFonts w:ascii="Times New Roman" w:hAnsi="Times New Roman" w:cs="Times New Roman"/>
          <w:kern w:val="0"/>
          <w:sz w:val="20"/>
          <w:szCs w:val="20"/>
        </w:rPr>
        <w:t xml:space="preserve"> too-late HO command.</w:t>
      </w:r>
    </w:p>
    <w:p w14:paraId="749AF827" w14:textId="337D25B4" w:rsidR="00D437E9" w:rsidRDefault="001610FC"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To address the issue, two options can be considered:</w:t>
      </w:r>
    </w:p>
    <w:p w14:paraId="5CD85BAC" w14:textId="4795790C" w:rsidR="001610FC" w:rsidRDefault="001610FC" w:rsidP="001610FC">
      <w:pPr>
        <w:pStyle w:val="a7"/>
        <w:widowControl/>
        <w:numPr>
          <w:ilvl w:val="0"/>
          <w:numId w:val="39"/>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Option 1: Revert the</w:t>
      </w:r>
      <w:r w:rsidR="00940C72">
        <w:rPr>
          <w:rFonts w:ascii="Times New Roman" w:hAnsi="Times New Roman" w:cs="Times New Roman"/>
          <w:kern w:val="0"/>
          <w:sz w:val="20"/>
          <w:szCs w:val="20"/>
        </w:rPr>
        <w:t xml:space="preserve"> previous</w:t>
      </w:r>
      <w:r>
        <w:rPr>
          <w:rFonts w:ascii="Times New Roman" w:hAnsi="Times New Roman" w:cs="Times New Roman"/>
          <w:kern w:val="0"/>
          <w:sz w:val="20"/>
          <w:szCs w:val="20"/>
        </w:rPr>
        <w:t xml:space="preserve"> agreement, i.e., no </w:t>
      </w:r>
      <w:r w:rsidRPr="001610FC">
        <w:rPr>
          <w:rFonts w:ascii="Times New Roman" w:hAnsi="Times New Roman" w:cs="Times New Roman"/>
          <w:kern w:val="0"/>
          <w:sz w:val="20"/>
          <w:szCs w:val="20"/>
        </w:rPr>
        <w:t xml:space="preserve">explicit indicator in SHR </w:t>
      </w:r>
      <w:r>
        <w:rPr>
          <w:rFonts w:ascii="Times New Roman" w:hAnsi="Times New Roman" w:cs="Times New Roman"/>
          <w:kern w:val="0"/>
          <w:sz w:val="20"/>
          <w:szCs w:val="20"/>
        </w:rPr>
        <w:t xml:space="preserve">on </w:t>
      </w:r>
      <w:r w:rsidRPr="001610FC">
        <w:rPr>
          <w:rFonts w:ascii="Times New Roman" w:hAnsi="Times New Roman" w:cs="Times New Roman"/>
          <w:kern w:val="0"/>
          <w:sz w:val="20"/>
          <w:szCs w:val="20"/>
        </w:rPr>
        <w:t>whether the successful LTM execution was RACH-less or RACH-based.</w:t>
      </w:r>
    </w:p>
    <w:p w14:paraId="008E014E" w14:textId="7916B69B" w:rsidR="001610FC" w:rsidRPr="001610FC" w:rsidRDefault="001610FC" w:rsidP="001610FC">
      <w:pPr>
        <w:pStyle w:val="a7"/>
        <w:widowControl/>
        <w:numPr>
          <w:ilvl w:val="0"/>
          <w:numId w:val="39"/>
        </w:numPr>
        <w:adjustRightInd w:val="0"/>
        <w:snapToGrid w:val="0"/>
        <w:spacing w:before="120" w:after="120" w:line="288" w:lineRule="auto"/>
        <w:ind w:firstLineChars="0"/>
        <w:rPr>
          <w:rFonts w:ascii="Times New Roman" w:hAnsi="Times New Roman" w:cs="Times New Roman" w:hint="eastAsia"/>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 xml:space="preserve">ption 2: </w:t>
      </w:r>
      <w:r w:rsidR="00463B92">
        <w:rPr>
          <w:rFonts w:ascii="Times New Roman" w:hAnsi="Times New Roman" w:cs="Times New Roman"/>
          <w:kern w:val="0"/>
          <w:sz w:val="20"/>
          <w:szCs w:val="20"/>
        </w:rPr>
        <w:t>For RACH-less LTM, t</w:t>
      </w:r>
      <w:r w:rsidRPr="001610FC">
        <w:rPr>
          <w:rFonts w:ascii="Times New Roman" w:hAnsi="Times New Roman" w:cs="Times New Roman"/>
          <w:kern w:val="0"/>
          <w:sz w:val="20"/>
          <w:szCs w:val="20"/>
        </w:rPr>
        <w:t xml:space="preserve">he UE logs and reports whether and how the UE got the TA value used for a </w:t>
      </w:r>
      <w:r w:rsidR="004851A4">
        <w:rPr>
          <w:rFonts w:ascii="Times New Roman" w:hAnsi="Times New Roman" w:cs="Times New Roman"/>
          <w:kern w:val="0"/>
          <w:sz w:val="20"/>
          <w:szCs w:val="20"/>
        </w:rPr>
        <w:t>near-</w:t>
      </w:r>
      <w:r w:rsidRPr="001610FC">
        <w:rPr>
          <w:rFonts w:ascii="Times New Roman" w:hAnsi="Times New Roman" w:cs="Times New Roman"/>
          <w:kern w:val="0"/>
          <w:sz w:val="20"/>
          <w:szCs w:val="20"/>
        </w:rPr>
        <w:t>fail</w:t>
      </w:r>
      <w:r w:rsidR="004851A4">
        <w:rPr>
          <w:rFonts w:ascii="Times New Roman" w:hAnsi="Times New Roman" w:cs="Times New Roman"/>
          <w:kern w:val="0"/>
          <w:sz w:val="20"/>
          <w:szCs w:val="20"/>
        </w:rPr>
        <w:t>ure</w:t>
      </w:r>
      <w:r w:rsidRPr="001610FC">
        <w:rPr>
          <w:rFonts w:ascii="Times New Roman" w:hAnsi="Times New Roman" w:cs="Times New Roman"/>
          <w:kern w:val="0"/>
          <w:sz w:val="20"/>
          <w:szCs w:val="20"/>
        </w:rPr>
        <w:t xml:space="preserve"> LTM switch (</w:t>
      </w:r>
      <w:proofErr w:type="spellStart"/>
      <w:r w:rsidRPr="001610FC">
        <w:rPr>
          <w:rFonts w:ascii="Times New Roman" w:hAnsi="Times New Roman" w:cs="Times New Roman"/>
          <w:kern w:val="0"/>
          <w:sz w:val="20"/>
          <w:szCs w:val="20"/>
        </w:rPr>
        <w:t>gNB</w:t>
      </w:r>
      <w:proofErr w:type="spellEnd"/>
      <w:r w:rsidRPr="001610FC">
        <w:rPr>
          <w:rFonts w:ascii="Times New Roman" w:hAnsi="Times New Roman" w:cs="Times New Roman"/>
          <w:kern w:val="0"/>
          <w:sz w:val="20"/>
          <w:szCs w:val="20"/>
        </w:rPr>
        <w:t xml:space="preserve"> indicated or UE determined)</w:t>
      </w:r>
      <w:r w:rsidR="00463B92">
        <w:rPr>
          <w:rFonts w:ascii="Times New Roman" w:hAnsi="Times New Roman" w:cs="Times New Roman"/>
          <w:kern w:val="0"/>
          <w:sz w:val="20"/>
          <w:szCs w:val="20"/>
        </w:rPr>
        <w:t xml:space="preserve"> in the SHR</w:t>
      </w:r>
      <w:r w:rsidRPr="001610FC">
        <w:rPr>
          <w:rFonts w:ascii="Times New Roman" w:hAnsi="Times New Roman" w:cs="Times New Roman"/>
          <w:kern w:val="0"/>
          <w:sz w:val="20"/>
          <w:szCs w:val="20"/>
        </w:rPr>
        <w:t>.</w:t>
      </w:r>
      <w:r w:rsidR="00463B92">
        <w:rPr>
          <w:rFonts w:ascii="Times New Roman" w:hAnsi="Times New Roman" w:cs="Times New Roman"/>
          <w:kern w:val="0"/>
          <w:sz w:val="20"/>
          <w:szCs w:val="20"/>
        </w:rPr>
        <w:t xml:space="preserve"> </w:t>
      </w:r>
      <w:r w:rsidR="00463B92">
        <w:rPr>
          <w:rFonts w:ascii="Times New Roman" w:hAnsi="Times New Roman" w:cs="Times New Roman" w:hint="eastAsia"/>
          <w:kern w:val="0"/>
          <w:sz w:val="20"/>
          <w:szCs w:val="20"/>
        </w:rPr>
        <w:t>T</w:t>
      </w:r>
      <w:r w:rsidR="00463B92">
        <w:rPr>
          <w:rFonts w:ascii="Times New Roman" w:hAnsi="Times New Roman" w:cs="Times New Roman"/>
          <w:kern w:val="0"/>
          <w:sz w:val="20"/>
          <w:szCs w:val="20"/>
        </w:rPr>
        <w:t>he present of TA value source means RACH-less LTM.</w:t>
      </w:r>
    </w:p>
    <w:p w14:paraId="3575DFA7" w14:textId="77E4C20A" w:rsidR="000556C6" w:rsidRDefault="000556C6" w:rsidP="00E5233F">
      <w:pPr>
        <w:widowControl/>
        <w:adjustRightInd w:val="0"/>
        <w:snapToGrid w:val="0"/>
        <w:spacing w:afterLines="50" w:after="156" w:line="288" w:lineRule="auto"/>
        <w:rPr>
          <w:rFonts w:ascii="Arial" w:eastAsia="宋体" w:hAnsi="Arial" w:cs="Arial"/>
          <w:b/>
          <w:kern w:val="0"/>
          <w:sz w:val="20"/>
          <w:szCs w:val="20"/>
        </w:rPr>
      </w:pPr>
      <w:r>
        <w:rPr>
          <w:rFonts w:ascii="Arial" w:eastAsia="宋体" w:hAnsi="Arial" w:cs="Arial"/>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1D32A8">
        <w:rPr>
          <w:rFonts w:ascii="Arial" w:eastAsia="宋体" w:hAnsi="Arial" w:cs="Arial"/>
          <w:b/>
          <w:kern w:val="0"/>
          <w:sz w:val="20"/>
          <w:szCs w:val="20"/>
        </w:rPr>
        <w:t>I</w:t>
      </w:r>
      <w:r w:rsidR="001D32A8" w:rsidRPr="001D32A8">
        <w:rPr>
          <w:rFonts w:ascii="Arial" w:eastAsia="宋体" w:hAnsi="Arial" w:cs="Arial"/>
          <w:b/>
          <w:kern w:val="0"/>
          <w:sz w:val="20"/>
          <w:szCs w:val="20"/>
        </w:rPr>
        <w:t xml:space="preserve">f the SHR is not triggered by T304 threshold, i.e., triggered by T310/T312 threshold, the RACH type is </w:t>
      </w:r>
      <w:r w:rsidR="00B006D5">
        <w:rPr>
          <w:rFonts w:ascii="Arial" w:eastAsia="宋体" w:hAnsi="Arial" w:cs="Arial"/>
          <w:b/>
          <w:kern w:val="0"/>
          <w:sz w:val="20"/>
          <w:szCs w:val="20"/>
        </w:rPr>
        <w:t>useless</w:t>
      </w:r>
      <w:r w:rsidR="001D32A8" w:rsidRPr="001D32A8">
        <w:rPr>
          <w:rFonts w:ascii="Arial" w:eastAsia="宋体" w:hAnsi="Arial" w:cs="Arial"/>
          <w:b/>
          <w:kern w:val="0"/>
          <w:sz w:val="20"/>
          <w:szCs w:val="20"/>
        </w:rPr>
        <w:t xml:space="preserve"> as the near failure is not due to RACH attempt to target</w:t>
      </w:r>
      <w:r w:rsidR="001B14FF">
        <w:rPr>
          <w:rFonts w:ascii="Arial" w:eastAsia="宋体" w:hAnsi="Arial" w:cs="Arial"/>
          <w:b/>
          <w:kern w:val="0"/>
          <w:sz w:val="20"/>
          <w:szCs w:val="20"/>
        </w:rPr>
        <w:t>,</w:t>
      </w:r>
      <w:r w:rsidR="001D32A8" w:rsidRPr="001D32A8">
        <w:rPr>
          <w:rFonts w:ascii="Arial" w:eastAsia="宋体" w:hAnsi="Arial" w:cs="Arial"/>
          <w:b/>
          <w:kern w:val="0"/>
          <w:sz w:val="20"/>
          <w:szCs w:val="20"/>
        </w:rPr>
        <w:t xml:space="preserve"> but </w:t>
      </w:r>
      <w:r w:rsidR="001B14FF">
        <w:rPr>
          <w:rFonts w:ascii="Arial" w:eastAsia="宋体" w:hAnsi="Arial" w:cs="Arial"/>
          <w:b/>
          <w:kern w:val="0"/>
          <w:sz w:val="20"/>
          <w:szCs w:val="20"/>
        </w:rPr>
        <w:t xml:space="preserve">is </w:t>
      </w:r>
      <w:r w:rsidR="001D32A8" w:rsidRPr="001D32A8">
        <w:rPr>
          <w:rFonts w:ascii="Arial" w:eastAsia="宋体" w:hAnsi="Arial" w:cs="Arial"/>
          <w:b/>
          <w:kern w:val="0"/>
          <w:sz w:val="20"/>
          <w:szCs w:val="20"/>
        </w:rPr>
        <w:t xml:space="preserve">due to poor radio at </w:t>
      </w:r>
      <w:r w:rsidR="005F4A35">
        <w:rPr>
          <w:rFonts w:ascii="Arial" w:eastAsia="宋体" w:hAnsi="Arial" w:cs="Arial"/>
          <w:b/>
          <w:kern w:val="0"/>
          <w:sz w:val="20"/>
          <w:szCs w:val="20"/>
        </w:rPr>
        <w:t xml:space="preserve">the </w:t>
      </w:r>
      <w:r w:rsidR="001D32A8" w:rsidRPr="001D32A8">
        <w:rPr>
          <w:rFonts w:ascii="Arial" w:eastAsia="宋体" w:hAnsi="Arial" w:cs="Arial"/>
          <w:b/>
          <w:kern w:val="0"/>
          <w:sz w:val="20"/>
          <w:szCs w:val="20"/>
        </w:rPr>
        <w:t>source and/or too-late HO command.</w:t>
      </w:r>
    </w:p>
    <w:p w14:paraId="5358BB40" w14:textId="1FEBFB65" w:rsidR="00D22EFE" w:rsidRDefault="00D22EFE" w:rsidP="00D22EFE">
      <w:pPr>
        <w:widowControl/>
        <w:adjustRightInd w:val="0"/>
        <w:snapToGrid w:val="0"/>
        <w:spacing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79242A">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the </w:t>
      </w:r>
      <w:r w:rsidR="00E5233F">
        <w:rPr>
          <w:rFonts w:ascii="Arial" w:eastAsia="宋体" w:hAnsi="Arial" w:cs="Arial"/>
          <w:b/>
          <w:kern w:val="0"/>
          <w:sz w:val="20"/>
          <w:szCs w:val="20"/>
        </w:rPr>
        <w:t>RACH type in SHR for LTM,</w:t>
      </w:r>
      <w:r w:rsidR="00404BB8">
        <w:rPr>
          <w:rFonts w:ascii="Arial" w:eastAsia="宋体" w:hAnsi="Arial" w:cs="Arial"/>
          <w:b/>
          <w:kern w:val="0"/>
          <w:sz w:val="20"/>
          <w:szCs w:val="20"/>
        </w:rPr>
        <w:t xml:space="preserve"> the following two options can be considered</w:t>
      </w:r>
      <w:r>
        <w:rPr>
          <w:rFonts w:ascii="Arial" w:eastAsia="宋体" w:hAnsi="Arial" w:cs="Arial"/>
          <w:b/>
          <w:kern w:val="0"/>
          <w:sz w:val="20"/>
          <w:szCs w:val="20"/>
        </w:rPr>
        <w:t>:</w:t>
      </w:r>
    </w:p>
    <w:p w14:paraId="0018C5BB" w14:textId="7DC60A3C" w:rsidR="00404BB8" w:rsidRPr="00404BB8" w:rsidRDefault="00404BB8" w:rsidP="00404BB8">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404BB8">
        <w:rPr>
          <w:rFonts w:ascii="Arial" w:eastAsia="宋体" w:hAnsi="Arial" w:cs="Arial"/>
          <w:b/>
          <w:kern w:val="0"/>
          <w:sz w:val="20"/>
          <w:szCs w:val="20"/>
        </w:rPr>
        <w:t>Option 1: Revert the</w:t>
      </w:r>
      <w:r w:rsidR="00940C72">
        <w:rPr>
          <w:rFonts w:ascii="Arial" w:eastAsia="宋体" w:hAnsi="Arial" w:cs="Arial"/>
          <w:b/>
          <w:kern w:val="0"/>
          <w:sz w:val="20"/>
          <w:szCs w:val="20"/>
        </w:rPr>
        <w:t xml:space="preserve"> previous</w:t>
      </w:r>
      <w:r w:rsidRPr="00404BB8">
        <w:rPr>
          <w:rFonts w:ascii="Arial" w:eastAsia="宋体" w:hAnsi="Arial" w:cs="Arial"/>
          <w:b/>
          <w:kern w:val="0"/>
          <w:sz w:val="20"/>
          <w:szCs w:val="20"/>
        </w:rPr>
        <w:t xml:space="preserve"> agreement, i.e., no explicit indicator in SHR on whether the successful LTM execution was RACH-less or RACH-based.</w:t>
      </w:r>
      <w:r w:rsidR="00AB52CB">
        <w:rPr>
          <w:rFonts w:ascii="Arial" w:eastAsia="宋体" w:hAnsi="Arial" w:cs="Arial"/>
          <w:b/>
          <w:kern w:val="0"/>
          <w:sz w:val="20"/>
          <w:szCs w:val="20"/>
        </w:rPr>
        <w:t xml:space="preserve"> The RACH type can be </w:t>
      </w:r>
      <w:r w:rsidR="00AB52CB">
        <w:rPr>
          <w:rFonts w:ascii="Arial" w:eastAsia="宋体" w:hAnsi="Arial" w:cs="Arial" w:hint="eastAsia"/>
          <w:b/>
          <w:kern w:val="0"/>
          <w:sz w:val="20"/>
          <w:szCs w:val="20"/>
        </w:rPr>
        <w:t>explicitly</w:t>
      </w:r>
      <w:r w:rsidR="00AB52CB">
        <w:rPr>
          <w:rFonts w:ascii="Arial" w:eastAsia="宋体" w:hAnsi="Arial" w:cs="Arial"/>
          <w:b/>
          <w:kern w:val="0"/>
          <w:sz w:val="20"/>
          <w:szCs w:val="20"/>
        </w:rPr>
        <w:t xml:space="preserve"> indicated by the presen</w:t>
      </w:r>
      <w:r w:rsidR="000302BA">
        <w:rPr>
          <w:rFonts w:ascii="Arial" w:eastAsia="宋体" w:hAnsi="Arial" w:cs="Arial"/>
          <w:b/>
          <w:kern w:val="0"/>
          <w:sz w:val="20"/>
          <w:szCs w:val="20"/>
        </w:rPr>
        <w:t>ce</w:t>
      </w:r>
      <w:r w:rsidR="00AB52CB">
        <w:rPr>
          <w:rFonts w:ascii="Arial" w:eastAsia="宋体" w:hAnsi="Arial" w:cs="Arial"/>
          <w:b/>
          <w:kern w:val="0"/>
          <w:sz w:val="20"/>
          <w:szCs w:val="20"/>
        </w:rPr>
        <w:t xml:space="preserve"> of RA info</w:t>
      </w:r>
      <w:r w:rsidR="00927E03">
        <w:rPr>
          <w:rFonts w:ascii="Arial" w:eastAsia="宋体" w:hAnsi="Arial" w:cs="Arial"/>
          <w:b/>
          <w:kern w:val="0"/>
          <w:sz w:val="20"/>
          <w:szCs w:val="20"/>
        </w:rPr>
        <w:t xml:space="preserve"> in SHR</w:t>
      </w:r>
      <w:r w:rsidR="00AB52CB">
        <w:rPr>
          <w:rFonts w:ascii="Arial" w:eastAsia="宋体" w:hAnsi="Arial" w:cs="Arial"/>
          <w:b/>
          <w:kern w:val="0"/>
          <w:sz w:val="20"/>
          <w:szCs w:val="20"/>
        </w:rPr>
        <w:t>.</w:t>
      </w:r>
    </w:p>
    <w:p w14:paraId="6CBC3244" w14:textId="2779EB58" w:rsidR="00404BB8" w:rsidRPr="00AB52CB" w:rsidRDefault="00404BB8" w:rsidP="00327188">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AB52CB">
        <w:rPr>
          <w:rFonts w:ascii="Arial" w:eastAsia="宋体" w:hAnsi="Arial" w:cs="Arial"/>
          <w:b/>
          <w:kern w:val="0"/>
          <w:sz w:val="20"/>
          <w:szCs w:val="20"/>
        </w:rPr>
        <w:t>Option 2: For RACH-less LTM, the UE logs and reports whether and how the UE got the TA value used for a near-failure LTM switch (</w:t>
      </w:r>
      <w:proofErr w:type="spellStart"/>
      <w:r w:rsidRPr="00AB52CB">
        <w:rPr>
          <w:rFonts w:ascii="Arial" w:eastAsia="宋体" w:hAnsi="Arial" w:cs="Arial"/>
          <w:b/>
          <w:kern w:val="0"/>
          <w:sz w:val="20"/>
          <w:szCs w:val="20"/>
        </w:rPr>
        <w:t>gNB</w:t>
      </w:r>
      <w:proofErr w:type="spellEnd"/>
      <w:r w:rsidRPr="00AB52CB">
        <w:rPr>
          <w:rFonts w:ascii="Arial" w:eastAsia="宋体" w:hAnsi="Arial" w:cs="Arial"/>
          <w:b/>
          <w:kern w:val="0"/>
          <w:sz w:val="20"/>
          <w:szCs w:val="20"/>
        </w:rPr>
        <w:t xml:space="preserve"> indicated or UE determined) in the SHR. The presen</w:t>
      </w:r>
      <w:r w:rsidR="008B3E88">
        <w:rPr>
          <w:rFonts w:ascii="Arial" w:eastAsia="宋体" w:hAnsi="Arial" w:cs="Arial"/>
          <w:b/>
          <w:kern w:val="0"/>
          <w:sz w:val="20"/>
          <w:szCs w:val="20"/>
        </w:rPr>
        <w:t>ce</w:t>
      </w:r>
      <w:r w:rsidRPr="00AB52CB">
        <w:rPr>
          <w:rFonts w:ascii="Arial" w:eastAsia="宋体" w:hAnsi="Arial" w:cs="Arial"/>
          <w:b/>
          <w:kern w:val="0"/>
          <w:sz w:val="20"/>
          <w:szCs w:val="20"/>
        </w:rPr>
        <w:t xml:space="preserve"> of TA value source </w:t>
      </w:r>
      <w:r w:rsidR="001D39BA">
        <w:rPr>
          <w:rFonts w:ascii="Arial" w:eastAsia="宋体" w:hAnsi="Arial" w:cs="Arial"/>
          <w:b/>
          <w:kern w:val="0"/>
          <w:sz w:val="20"/>
          <w:szCs w:val="20"/>
        </w:rPr>
        <w:t>can indicate</w:t>
      </w:r>
      <w:r w:rsidRPr="00AB52CB">
        <w:rPr>
          <w:rFonts w:ascii="Arial" w:eastAsia="宋体" w:hAnsi="Arial" w:cs="Arial"/>
          <w:b/>
          <w:kern w:val="0"/>
          <w:sz w:val="20"/>
          <w:szCs w:val="20"/>
        </w:rPr>
        <w:t xml:space="preserve"> RACH-less LTM.</w:t>
      </w:r>
    </w:p>
    <w:p w14:paraId="07834E1F" w14:textId="77777777" w:rsidR="00D22EFE" w:rsidRDefault="00D22EFE" w:rsidP="00552105">
      <w:pPr>
        <w:widowControl/>
        <w:adjustRightInd w:val="0"/>
        <w:snapToGrid w:val="0"/>
        <w:spacing w:before="120" w:after="120" w:line="288" w:lineRule="auto"/>
        <w:rPr>
          <w:rFonts w:ascii="Arial" w:eastAsia="宋体" w:hAnsi="Arial" w:cs="Arial" w:hint="eastAsia"/>
          <w:b/>
          <w:kern w:val="0"/>
          <w:sz w:val="20"/>
          <w:szCs w:val="20"/>
        </w:rPr>
      </w:pPr>
    </w:p>
    <w:p w14:paraId="0A9D6F4F" w14:textId="14F14A2F" w:rsidR="00AE40F3" w:rsidRDefault="00643CE5" w:rsidP="00AE40F3">
      <w:pPr>
        <w:pStyle w:val="2"/>
        <w:numPr>
          <w:ilvl w:val="1"/>
          <w:numId w:val="3"/>
        </w:numPr>
        <w:spacing w:before="120"/>
        <w:ind w:left="567" w:hanging="567"/>
        <w:rPr>
          <w:b w:val="0"/>
          <w:sz w:val="28"/>
          <w:lang w:val="en-US"/>
        </w:rPr>
      </w:pPr>
      <w:r w:rsidRPr="00643CE5">
        <w:rPr>
          <w:b w:val="0"/>
          <w:sz w:val="28"/>
          <w:lang w:val="en-US"/>
        </w:rPr>
        <w:t>CHO with candidate SCG</w:t>
      </w:r>
    </w:p>
    <w:p w14:paraId="073D8BED" w14:textId="1F911808" w:rsidR="00277AE3" w:rsidRDefault="00277AE3" w:rsidP="004D487F">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At the </w:t>
      </w:r>
      <w:r w:rsidRPr="00277AE3">
        <w:rPr>
          <w:rFonts w:ascii="Times New Roman" w:eastAsia="宋体" w:hAnsi="Times New Roman" w:cs="Times New Roman"/>
          <w:kern w:val="0"/>
          <w:sz w:val="20"/>
          <w:szCs w:val="20"/>
          <w:lang w:val="en-GB"/>
        </w:rPr>
        <w:t>RAN2</w:t>
      </w:r>
      <w:r w:rsidR="00D577B0">
        <w:rPr>
          <w:rFonts w:ascii="Times New Roman" w:eastAsia="宋体" w:hAnsi="Times New Roman" w:cs="Times New Roman"/>
          <w:kern w:val="0"/>
          <w:sz w:val="20"/>
          <w:szCs w:val="20"/>
          <w:lang w:val="en-GB"/>
        </w:rPr>
        <w:t>#125bis meeting, it was agreed</w:t>
      </w:r>
      <w:r w:rsidRPr="00277AE3">
        <w:rPr>
          <w:rFonts w:ascii="Times New Roman" w:eastAsia="宋体" w:hAnsi="Times New Roman" w:cs="Times New Roman"/>
          <w:kern w:val="0"/>
          <w:sz w:val="20"/>
          <w:szCs w:val="20"/>
          <w:lang w:val="en-GB"/>
        </w:rPr>
        <w:t xml:space="preserve"> to study failure and near</w:t>
      </w:r>
      <w:r w:rsidR="00D577B0">
        <w:rPr>
          <w:rFonts w:ascii="Times New Roman" w:eastAsia="宋体" w:hAnsi="Times New Roman" w:cs="Times New Roman"/>
          <w:kern w:val="0"/>
          <w:sz w:val="20"/>
          <w:szCs w:val="20"/>
          <w:lang w:val="en-GB"/>
        </w:rPr>
        <w:t>-</w:t>
      </w:r>
      <w:r w:rsidRPr="00277AE3">
        <w:rPr>
          <w:rFonts w:ascii="Times New Roman" w:eastAsia="宋体" w:hAnsi="Times New Roman" w:cs="Times New Roman"/>
          <w:kern w:val="0"/>
          <w:sz w:val="20"/>
          <w:szCs w:val="20"/>
          <w:lang w:val="en-GB"/>
        </w:rPr>
        <w:t>failure scenarios for CHO with candidate SCGs.</w:t>
      </w:r>
    </w:p>
    <w:tbl>
      <w:tblPr>
        <w:tblStyle w:val="a9"/>
        <w:tblW w:w="0" w:type="auto"/>
        <w:tblLook w:val="04A0" w:firstRow="1" w:lastRow="0" w:firstColumn="1" w:lastColumn="0" w:noHBand="0" w:noVBand="1"/>
      </w:tblPr>
      <w:tblGrid>
        <w:gridCol w:w="9060"/>
      </w:tblGrid>
      <w:tr w:rsidR="00FC5815" w14:paraId="113D5C3A" w14:textId="77777777" w:rsidTr="00213110">
        <w:tc>
          <w:tcPr>
            <w:tcW w:w="9061" w:type="dxa"/>
          </w:tcPr>
          <w:p w14:paraId="3BD5B995" w14:textId="77777777" w:rsidR="00FC5815" w:rsidRDefault="00FC5815" w:rsidP="00213110">
            <w:pPr>
              <w:pStyle w:val="Agreement"/>
              <w:rPr>
                <w:lang w:eastAsia="ja-JP"/>
              </w:rPr>
            </w:pPr>
            <w:r>
              <w:rPr>
                <w:lang w:eastAsia="ja-JP"/>
              </w:rPr>
              <w:t>RAN2 to study failure and near failure scenarios for CHO with candidate SCGs.</w:t>
            </w:r>
          </w:p>
        </w:tc>
      </w:tr>
    </w:tbl>
    <w:p w14:paraId="7BE9538A" w14:textId="04F73146" w:rsidR="00CA47E3" w:rsidRDefault="00CA47E3" w:rsidP="00A618DC">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 xml:space="preserve">owever, the current progress is mainly on the failure case. </w:t>
      </w:r>
      <w:r w:rsidR="00954DD8">
        <w:rPr>
          <w:rFonts w:ascii="Times New Roman" w:hAnsi="Times New Roman" w:cs="Times New Roman"/>
          <w:kern w:val="0"/>
          <w:sz w:val="20"/>
          <w:szCs w:val="20"/>
        </w:rPr>
        <w:t>And it was agreed that</w:t>
      </w:r>
      <w:r w:rsidR="00172DCD">
        <w:rPr>
          <w:rFonts w:ascii="Times New Roman" w:hAnsi="Times New Roman" w:cs="Times New Roman"/>
          <w:kern w:val="0"/>
          <w:sz w:val="20"/>
          <w:szCs w:val="20"/>
        </w:rPr>
        <w:t xml:space="preserve"> </w:t>
      </w:r>
      <w:r w:rsidR="00954DD8" w:rsidRPr="00954DD8">
        <w:rPr>
          <w:rFonts w:ascii="Times New Roman" w:hAnsi="Times New Roman" w:cs="Times New Roman"/>
          <w:kern w:val="0"/>
          <w:sz w:val="20"/>
          <w:szCs w:val="20"/>
        </w:rPr>
        <w:t>UE reports the time gap between the first met condition (CHO or CPAC) and the second met condition (CPAC or CHO)</w:t>
      </w:r>
    </w:p>
    <w:p w14:paraId="0F14188E" w14:textId="792B5361" w:rsidR="00AC63FF" w:rsidRPr="004D487F" w:rsidRDefault="00AC63FF" w:rsidP="00FB5BC0">
      <w:pPr>
        <w:widowControl/>
        <w:adjustRightInd w:val="0"/>
        <w:snapToGrid w:val="0"/>
        <w:spacing w:before="120" w:after="120" w:line="288" w:lineRule="auto"/>
        <w:rPr>
          <w:rFonts w:ascii="Times New Roman" w:hAnsi="Times New Roman" w:cs="Times New Roman"/>
          <w:kern w:val="0"/>
          <w:sz w:val="20"/>
          <w:szCs w:val="20"/>
        </w:rPr>
      </w:pPr>
      <w:r w:rsidRPr="004D487F">
        <w:rPr>
          <w:rFonts w:ascii="Times New Roman" w:hAnsi="Times New Roman" w:cs="Times New Roman" w:hint="eastAsia"/>
          <w:kern w:val="0"/>
          <w:sz w:val="20"/>
          <w:szCs w:val="20"/>
        </w:rPr>
        <w:t>From the NW perspective, t</w:t>
      </w:r>
      <w:r w:rsidRPr="004D487F">
        <w:rPr>
          <w:rFonts w:ascii="Times New Roman" w:hAnsi="Times New Roman" w:cs="Times New Roman"/>
          <w:kern w:val="0"/>
          <w:sz w:val="20"/>
          <w:szCs w:val="20"/>
        </w:rPr>
        <w:t xml:space="preserve">he NW </w:t>
      </w:r>
      <w:r w:rsidRPr="004D487F">
        <w:rPr>
          <w:rFonts w:ascii="Times New Roman" w:hAnsi="Times New Roman" w:cs="Times New Roman" w:hint="eastAsia"/>
          <w:kern w:val="0"/>
          <w:sz w:val="20"/>
          <w:szCs w:val="20"/>
        </w:rPr>
        <w:t xml:space="preserve">expects </w:t>
      </w:r>
      <w:r w:rsidR="00FB5BC0">
        <w:rPr>
          <w:rFonts w:ascii="Times New Roman" w:hAnsi="Times New Roman" w:cs="Times New Roman"/>
          <w:kern w:val="0"/>
          <w:sz w:val="20"/>
          <w:szCs w:val="20"/>
        </w:rPr>
        <w:t xml:space="preserve">the </w:t>
      </w:r>
      <w:r w:rsidR="00FB5BC0" w:rsidRPr="00954DD8">
        <w:rPr>
          <w:rFonts w:ascii="Times New Roman" w:hAnsi="Times New Roman" w:cs="Times New Roman"/>
          <w:kern w:val="0"/>
          <w:sz w:val="20"/>
          <w:szCs w:val="20"/>
        </w:rPr>
        <w:t>condition</w:t>
      </w:r>
      <w:r w:rsidR="00FB5BC0">
        <w:rPr>
          <w:rFonts w:ascii="Times New Roman" w:hAnsi="Times New Roman" w:cs="Times New Roman"/>
          <w:kern w:val="0"/>
          <w:sz w:val="20"/>
          <w:szCs w:val="20"/>
        </w:rPr>
        <w:t>s for</w:t>
      </w:r>
      <w:r w:rsidR="00FB5BC0" w:rsidRPr="00954DD8">
        <w:rPr>
          <w:rFonts w:ascii="Times New Roman" w:hAnsi="Times New Roman" w:cs="Times New Roman"/>
          <w:kern w:val="0"/>
          <w:sz w:val="20"/>
          <w:szCs w:val="20"/>
        </w:rPr>
        <w:t xml:space="preserve"> CHO </w:t>
      </w:r>
      <w:r w:rsidR="00FB5BC0">
        <w:rPr>
          <w:rFonts w:ascii="Times New Roman" w:hAnsi="Times New Roman" w:cs="Times New Roman"/>
          <w:kern w:val="0"/>
          <w:sz w:val="20"/>
          <w:szCs w:val="20"/>
        </w:rPr>
        <w:t>and</w:t>
      </w:r>
      <w:r w:rsidR="00FB5BC0" w:rsidRPr="00954DD8">
        <w:rPr>
          <w:rFonts w:ascii="Times New Roman" w:hAnsi="Times New Roman" w:cs="Times New Roman"/>
          <w:kern w:val="0"/>
          <w:sz w:val="20"/>
          <w:szCs w:val="20"/>
        </w:rPr>
        <w:t xml:space="preserve"> CPAC</w:t>
      </w:r>
      <w:r w:rsidR="00FB5BC0">
        <w:rPr>
          <w:rFonts w:ascii="Times New Roman" w:hAnsi="Times New Roman" w:cs="Times New Roman"/>
          <w:kern w:val="0"/>
          <w:sz w:val="20"/>
          <w:szCs w:val="20"/>
        </w:rPr>
        <w:t xml:space="preserve"> is </w:t>
      </w:r>
      <w:r w:rsidR="00FB5BC0" w:rsidRPr="004D487F">
        <w:rPr>
          <w:rFonts w:ascii="Times New Roman" w:hAnsi="Times New Roman" w:cs="Times New Roman"/>
          <w:kern w:val="0"/>
          <w:sz w:val="20"/>
          <w:szCs w:val="20"/>
        </w:rPr>
        <w:t>as close as possible</w:t>
      </w:r>
      <w:r w:rsidR="00FB5BC0">
        <w:rPr>
          <w:rFonts w:ascii="Times New Roman" w:hAnsi="Times New Roman" w:cs="Times New Roman"/>
          <w:kern w:val="0"/>
          <w:sz w:val="20"/>
          <w:szCs w:val="20"/>
        </w:rPr>
        <w:t>.</w:t>
      </w:r>
      <w:r w:rsidRPr="004D487F">
        <w:rPr>
          <w:rFonts w:ascii="Times New Roman" w:hAnsi="Times New Roman" w:cs="Times New Roman" w:hint="eastAsia"/>
          <w:kern w:val="0"/>
          <w:sz w:val="20"/>
          <w:szCs w:val="20"/>
        </w:rPr>
        <w:t xml:space="preserve"> </w:t>
      </w:r>
      <w:r w:rsidRPr="004D487F">
        <w:rPr>
          <w:rFonts w:ascii="Times New Roman" w:hAnsi="Times New Roman" w:cs="Times New Roman"/>
          <w:kern w:val="0"/>
          <w:sz w:val="20"/>
          <w:szCs w:val="20"/>
        </w:rPr>
        <w:t xml:space="preserve">So if </w:t>
      </w:r>
      <w:proofErr w:type="spellStart"/>
      <w:r w:rsidRPr="004D487F">
        <w:rPr>
          <w:rFonts w:ascii="Times New Roman" w:hAnsi="Times New Roman" w:cs="Times New Roman"/>
          <w:kern w:val="0"/>
          <w:sz w:val="20"/>
          <w:szCs w:val="20"/>
        </w:rPr>
        <w:t>PCell</w:t>
      </w:r>
      <w:proofErr w:type="spellEnd"/>
      <w:r w:rsidRPr="004D487F">
        <w:rPr>
          <w:rFonts w:ascii="Times New Roman" w:hAnsi="Times New Roman" w:cs="Times New Roman"/>
          <w:kern w:val="0"/>
          <w:sz w:val="20"/>
          <w:szCs w:val="20"/>
        </w:rPr>
        <w:t xml:space="preserve"> changes with </w:t>
      </w:r>
      <w:proofErr w:type="spellStart"/>
      <w:r w:rsidRPr="004D487F">
        <w:rPr>
          <w:rFonts w:ascii="Times New Roman" w:hAnsi="Times New Roman" w:cs="Times New Roman"/>
          <w:kern w:val="0"/>
          <w:sz w:val="20"/>
          <w:szCs w:val="20"/>
        </w:rPr>
        <w:t>PSCell</w:t>
      </w:r>
      <w:proofErr w:type="spellEnd"/>
      <w:r w:rsidRPr="004D487F">
        <w:rPr>
          <w:rFonts w:ascii="Times New Roman" w:hAnsi="Times New Roman" w:cs="Times New Roman"/>
          <w:kern w:val="0"/>
          <w:sz w:val="20"/>
          <w:szCs w:val="20"/>
        </w:rPr>
        <w:t xml:space="preserve"> addition/change is successfully executed</w:t>
      </w:r>
      <w:r w:rsidRPr="004D487F">
        <w:rPr>
          <w:rFonts w:ascii="Times New Roman" w:hAnsi="Times New Roman" w:cs="Times New Roman" w:hint="eastAsia"/>
          <w:kern w:val="0"/>
          <w:sz w:val="20"/>
          <w:szCs w:val="20"/>
        </w:rPr>
        <w:t xml:space="preserve"> but </w:t>
      </w:r>
      <w:r w:rsidRPr="004D487F">
        <w:rPr>
          <w:rFonts w:ascii="Times New Roman" w:hAnsi="Times New Roman" w:cs="Times New Roman"/>
          <w:kern w:val="0"/>
          <w:sz w:val="20"/>
          <w:szCs w:val="20"/>
        </w:rPr>
        <w:t xml:space="preserve">if the time difference between T1 and T2 is large, the </w:t>
      </w:r>
      <w:r w:rsidRPr="004D487F">
        <w:rPr>
          <w:rFonts w:ascii="Times New Roman" w:hAnsi="Times New Roman" w:cs="Times New Roman" w:hint="eastAsia"/>
          <w:kern w:val="0"/>
          <w:sz w:val="20"/>
          <w:szCs w:val="20"/>
        </w:rPr>
        <w:t xml:space="preserve">NW </w:t>
      </w:r>
      <w:r w:rsidRPr="004D487F">
        <w:rPr>
          <w:rFonts w:ascii="Times New Roman" w:hAnsi="Times New Roman" w:cs="Times New Roman"/>
          <w:kern w:val="0"/>
          <w:sz w:val="20"/>
          <w:szCs w:val="20"/>
        </w:rPr>
        <w:t>needs to know that situation</w:t>
      </w:r>
      <w:r w:rsidRPr="004D487F">
        <w:rPr>
          <w:rFonts w:ascii="Times New Roman" w:hAnsi="Times New Roman" w:cs="Times New Roman" w:hint="eastAsia"/>
          <w:kern w:val="0"/>
          <w:sz w:val="20"/>
          <w:szCs w:val="20"/>
        </w:rPr>
        <w:t>, UE should report some information to assi</w:t>
      </w:r>
      <w:r w:rsidRPr="004D487F">
        <w:rPr>
          <w:rFonts w:ascii="Times New Roman" w:hAnsi="Times New Roman" w:cs="Times New Roman"/>
          <w:kern w:val="0"/>
          <w:sz w:val="20"/>
          <w:szCs w:val="20"/>
        </w:rPr>
        <w:t>s</w:t>
      </w:r>
      <w:r w:rsidRPr="004D487F">
        <w:rPr>
          <w:rFonts w:ascii="Times New Roman" w:hAnsi="Times New Roman" w:cs="Times New Roman" w:hint="eastAsia"/>
          <w:kern w:val="0"/>
          <w:sz w:val="20"/>
          <w:szCs w:val="20"/>
        </w:rPr>
        <w:t xml:space="preserve">t the NW </w:t>
      </w:r>
      <w:r w:rsidRPr="004D487F">
        <w:rPr>
          <w:rFonts w:ascii="Times New Roman" w:hAnsi="Times New Roman" w:cs="Times New Roman"/>
          <w:kern w:val="0"/>
          <w:sz w:val="20"/>
          <w:szCs w:val="20"/>
        </w:rPr>
        <w:t>in optimizing the configuration</w:t>
      </w:r>
      <w:r w:rsidRPr="004D487F">
        <w:rPr>
          <w:rFonts w:ascii="Times New Roman" w:hAnsi="Times New Roman" w:cs="Times New Roman" w:hint="eastAsia"/>
          <w:kern w:val="0"/>
          <w:sz w:val="20"/>
          <w:szCs w:val="20"/>
        </w:rPr>
        <w:t>.</w:t>
      </w:r>
    </w:p>
    <w:p w14:paraId="0631B06F" w14:textId="2E164051" w:rsidR="001D3659" w:rsidRPr="00A618DC" w:rsidRDefault="00FE2F2F" w:rsidP="00A618DC">
      <w:pPr>
        <w:widowControl/>
        <w:adjustRightInd w:val="0"/>
        <w:snapToGrid w:val="0"/>
        <w:spacing w:before="120" w:after="120" w:line="288" w:lineRule="auto"/>
        <w:rPr>
          <w:rFonts w:ascii="Times New Roman" w:hAnsi="Times New Roman" w:cs="Times New Roman"/>
          <w:kern w:val="0"/>
          <w:sz w:val="20"/>
          <w:szCs w:val="20"/>
        </w:rPr>
      </w:pPr>
      <w:r w:rsidRPr="00A618DC">
        <w:rPr>
          <w:rFonts w:ascii="Times New Roman" w:hAnsi="Times New Roman" w:cs="Times New Roman" w:hint="eastAsia"/>
          <w:kern w:val="0"/>
          <w:sz w:val="20"/>
          <w:szCs w:val="20"/>
        </w:rPr>
        <w:lastRenderedPageBreak/>
        <w:t>F</w:t>
      </w:r>
      <w:r w:rsidRPr="00A618DC">
        <w:rPr>
          <w:rFonts w:ascii="Times New Roman" w:hAnsi="Times New Roman" w:cs="Times New Roman"/>
          <w:kern w:val="0"/>
          <w:sz w:val="20"/>
          <w:szCs w:val="20"/>
        </w:rPr>
        <w:t>or the above near-failure scenario, the SHR</w:t>
      </w:r>
      <w:r w:rsidR="00761D21" w:rsidRPr="00A618DC">
        <w:rPr>
          <w:rFonts w:ascii="Times New Roman" w:hAnsi="Times New Roman" w:cs="Times New Roman"/>
          <w:kern w:val="0"/>
          <w:sz w:val="20"/>
          <w:szCs w:val="20"/>
        </w:rPr>
        <w:t xml:space="preserve"> can be taken as the baseline for enhancement.</w:t>
      </w:r>
      <w:r w:rsidR="00EB5509" w:rsidRPr="00A618DC">
        <w:rPr>
          <w:rFonts w:ascii="Times New Roman" w:hAnsi="Times New Roman" w:cs="Times New Roman"/>
          <w:kern w:val="0"/>
          <w:sz w:val="20"/>
          <w:szCs w:val="20"/>
        </w:rPr>
        <w:t xml:space="preserve"> The most straightforward way is introducing another triggering event for the SHR report, i.e., the </w:t>
      </w:r>
      <w:r w:rsidR="00DC0D11">
        <w:rPr>
          <w:rFonts w:ascii="Times New Roman" w:hAnsi="Times New Roman" w:cs="Times New Roman"/>
          <w:kern w:val="0"/>
          <w:sz w:val="20"/>
          <w:szCs w:val="20"/>
        </w:rPr>
        <w:t>time gap</w:t>
      </w:r>
      <w:r w:rsidR="00EB5509" w:rsidRPr="00A618DC">
        <w:rPr>
          <w:rFonts w:ascii="Times New Roman" w:hAnsi="Times New Roman" w:cs="Times New Roman"/>
          <w:kern w:val="0"/>
          <w:sz w:val="20"/>
          <w:szCs w:val="20"/>
        </w:rPr>
        <w:t xml:space="preserve"> between </w:t>
      </w:r>
      <w:r w:rsidR="006112BB">
        <w:rPr>
          <w:rFonts w:ascii="Times New Roman" w:hAnsi="Times New Roman" w:cs="Times New Roman"/>
          <w:kern w:val="0"/>
          <w:sz w:val="20"/>
          <w:szCs w:val="20"/>
        </w:rPr>
        <w:t xml:space="preserve">the </w:t>
      </w:r>
      <w:r w:rsidR="006112BB">
        <w:rPr>
          <w:rFonts w:ascii="Times New Roman" w:hAnsi="Times New Roman" w:cs="Times New Roman"/>
          <w:kern w:val="0"/>
          <w:sz w:val="20"/>
          <w:szCs w:val="20"/>
        </w:rPr>
        <w:t xml:space="preserve">time when </w:t>
      </w:r>
      <w:r w:rsidR="006112BB" w:rsidRPr="00954DD8">
        <w:rPr>
          <w:rFonts w:ascii="Times New Roman" w:hAnsi="Times New Roman" w:cs="Times New Roman"/>
          <w:kern w:val="0"/>
          <w:sz w:val="20"/>
          <w:szCs w:val="20"/>
        </w:rPr>
        <w:t>condition</w:t>
      </w:r>
      <w:r w:rsidR="006112BB">
        <w:rPr>
          <w:rFonts w:ascii="Times New Roman" w:hAnsi="Times New Roman" w:cs="Times New Roman"/>
          <w:kern w:val="0"/>
          <w:sz w:val="20"/>
          <w:szCs w:val="20"/>
        </w:rPr>
        <w:t>s for</w:t>
      </w:r>
      <w:r w:rsidR="006112BB" w:rsidRPr="00954DD8">
        <w:rPr>
          <w:rFonts w:ascii="Times New Roman" w:hAnsi="Times New Roman" w:cs="Times New Roman"/>
          <w:kern w:val="0"/>
          <w:sz w:val="20"/>
          <w:szCs w:val="20"/>
        </w:rPr>
        <w:t xml:space="preserve"> CHO </w:t>
      </w:r>
      <w:r w:rsidR="006112BB">
        <w:rPr>
          <w:rFonts w:ascii="Times New Roman" w:hAnsi="Times New Roman" w:cs="Times New Roman"/>
          <w:kern w:val="0"/>
          <w:sz w:val="20"/>
          <w:szCs w:val="20"/>
        </w:rPr>
        <w:t>and</w:t>
      </w:r>
      <w:r w:rsidR="006112BB" w:rsidRPr="00954DD8">
        <w:rPr>
          <w:rFonts w:ascii="Times New Roman" w:hAnsi="Times New Roman" w:cs="Times New Roman"/>
          <w:kern w:val="0"/>
          <w:sz w:val="20"/>
          <w:szCs w:val="20"/>
        </w:rPr>
        <w:t xml:space="preserve"> CPAC</w:t>
      </w:r>
      <w:r w:rsidR="006112BB">
        <w:rPr>
          <w:rFonts w:ascii="Times New Roman" w:hAnsi="Times New Roman" w:cs="Times New Roman"/>
          <w:kern w:val="0"/>
          <w:sz w:val="20"/>
          <w:szCs w:val="20"/>
        </w:rPr>
        <w:t xml:space="preserve"> are met</w:t>
      </w:r>
      <w:r w:rsidR="00EB5509" w:rsidRPr="00A618DC">
        <w:rPr>
          <w:rFonts w:ascii="Times New Roman" w:hAnsi="Times New Roman" w:cs="Times New Roman"/>
          <w:kern w:val="0"/>
          <w:sz w:val="20"/>
          <w:szCs w:val="20"/>
        </w:rPr>
        <w:t xml:space="preserve"> exceeds a configured threshold.</w:t>
      </w:r>
      <w:r w:rsidR="00F822D4" w:rsidRPr="00A618DC">
        <w:rPr>
          <w:rFonts w:ascii="Times New Roman" w:hAnsi="Times New Roman" w:cs="Times New Roman"/>
          <w:kern w:val="0"/>
          <w:sz w:val="20"/>
          <w:szCs w:val="20"/>
        </w:rPr>
        <w:t xml:space="preserve"> </w:t>
      </w:r>
      <w:r w:rsidR="00395902">
        <w:rPr>
          <w:rFonts w:ascii="Times New Roman" w:hAnsi="Times New Roman" w:cs="Times New Roman"/>
          <w:kern w:val="0"/>
          <w:sz w:val="20"/>
          <w:szCs w:val="20"/>
        </w:rPr>
        <w:t>In addition, the same info should be included in the SHR.</w:t>
      </w:r>
    </w:p>
    <w:p w14:paraId="72AD6992" w14:textId="0A745D4D" w:rsidR="0037050E" w:rsidRDefault="0037050E" w:rsidP="0037050E">
      <w:pPr>
        <w:widowControl/>
        <w:adjustRightInd w:val="0"/>
        <w:snapToGrid w:val="0"/>
        <w:spacing w:before="120" w:after="120"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sidR="00AE434E">
        <w:rPr>
          <w:rFonts w:ascii="Arial" w:eastAsia="宋体" w:hAnsi="Arial" w:cs="Arial"/>
          <w:b/>
          <w:bCs/>
          <w:kern w:val="0"/>
          <w:sz w:val="20"/>
          <w:szCs w:val="20"/>
          <w:lang w:val="en-GB"/>
        </w:rPr>
        <w:t>2</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another triggering event for the SHR report, i.e., </w:t>
      </w:r>
      <w:r w:rsidR="002B4E08">
        <w:rPr>
          <w:rFonts w:ascii="Arial" w:eastAsia="宋体" w:hAnsi="Arial" w:cs="Arial"/>
          <w:b/>
          <w:kern w:val="0"/>
          <w:sz w:val="20"/>
          <w:szCs w:val="20"/>
        </w:rPr>
        <w:t xml:space="preserve">the </w:t>
      </w:r>
      <w:r w:rsidR="00796CB5" w:rsidRPr="00796CB5">
        <w:rPr>
          <w:rFonts w:ascii="Arial" w:eastAsia="宋体" w:hAnsi="Arial" w:cs="Arial"/>
          <w:b/>
          <w:kern w:val="0"/>
          <w:sz w:val="20"/>
          <w:szCs w:val="20"/>
        </w:rPr>
        <w:t>time gap between the time when conditions for CHO and CPAC are met exceeds a configured threshold</w:t>
      </w:r>
      <w:r w:rsidR="00556728" w:rsidRPr="009D2B4E">
        <w:rPr>
          <w:rFonts w:ascii="Arial" w:eastAsia="宋体" w:hAnsi="Arial" w:cs="Arial"/>
          <w:b/>
          <w:kern w:val="0"/>
          <w:sz w:val="20"/>
          <w:szCs w:val="20"/>
        </w:rPr>
        <w:t>.</w:t>
      </w:r>
    </w:p>
    <w:p w14:paraId="59D40548" w14:textId="0F6FFF64" w:rsidR="006455E1" w:rsidRDefault="006455E1" w:rsidP="006455E1">
      <w:pPr>
        <w:widowControl/>
        <w:adjustRightInd w:val="0"/>
        <w:snapToGrid w:val="0"/>
        <w:spacing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sidR="00AE434E">
        <w:rPr>
          <w:rFonts w:ascii="Arial" w:eastAsia="宋体" w:hAnsi="Arial" w:cs="Arial"/>
          <w:b/>
          <w:bCs/>
          <w:kern w:val="0"/>
          <w:sz w:val="20"/>
          <w:szCs w:val="20"/>
          <w:lang w:val="en-GB"/>
        </w:rPr>
        <w:t>3</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For the near-failure </w:t>
      </w:r>
      <w:r w:rsidRPr="006F635D">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introduce the following information in the SHR report:</w:t>
      </w:r>
    </w:p>
    <w:p w14:paraId="35DB8614" w14:textId="695F50F8" w:rsidR="006455E1" w:rsidRDefault="006455E1" w:rsidP="006455E1">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w:t>
      </w:r>
      <w:r w:rsidRPr="009D2B4E">
        <w:rPr>
          <w:rFonts w:ascii="Arial" w:eastAsia="宋体" w:hAnsi="Arial" w:cs="Arial"/>
          <w:b/>
          <w:kern w:val="0"/>
          <w:sz w:val="20"/>
          <w:szCs w:val="20"/>
        </w:rPr>
        <w:t xml:space="preserve">ime difference </w:t>
      </w:r>
      <w:r w:rsidR="002B4E08" w:rsidRPr="002B4E08">
        <w:rPr>
          <w:rFonts w:ascii="Arial" w:eastAsia="宋体" w:hAnsi="Arial" w:cs="Arial"/>
          <w:b/>
          <w:kern w:val="0"/>
          <w:sz w:val="20"/>
          <w:szCs w:val="20"/>
        </w:rPr>
        <w:t>time gap between the first met condition (CHO or CPAC) and the second met condition (CPAC or CHO)</w:t>
      </w:r>
      <w:r w:rsidRPr="009D2B4E">
        <w:rPr>
          <w:rFonts w:ascii="Arial" w:eastAsia="宋体" w:hAnsi="Arial" w:cs="Arial"/>
          <w:b/>
          <w:kern w:val="0"/>
          <w:sz w:val="20"/>
          <w:szCs w:val="20"/>
        </w:rPr>
        <w:t>.</w:t>
      </w:r>
    </w:p>
    <w:p w14:paraId="41B38ED3" w14:textId="49EA365A" w:rsidR="006455E1" w:rsidRPr="00086D74" w:rsidRDefault="009F39D5" w:rsidP="006455E1">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The f</w:t>
      </w:r>
      <w:r w:rsidR="006455E1">
        <w:rPr>
          <w:rFonts w:ascii="Arial" w:eastAsia="宋体" w:hAnsi="Arial" w:cs="Arial"/>
          <w:b/>
          <w:kern w:val="0"/>
          <w:sz w:val="20"/>
          <w:szCs w:val="20"/>
        </w:rPr>
        <w:t>irst fulfilled event, CHO or CPAC.</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A3D28D4"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39C0EA71" w14:textId="5A338053" w:rsidR="00124984" w:rsidRDefault="00697375" w:rsidP="00690ABB">
      <w:pPr>
        <w:spacing w:before="120" w:after="120"/>
        <w:rPr>
          <w:rFonts w:ascii="Times New Roman" w:hAnsi="Times New Roman" w:cs="Times New Roman"/>
          <w:kern w:val="0"/>
          <w:sz w:val="20"/>
          <w:szCs w:val="20"/>
          <w:u w:val="single"/>
        </w:rPr>
      </w:pPr>
      <w:r>
        <w:rPr>
          <w:rFonts w:ascii="Times New Roman" w:hAnsi="Times New Roman" w:cs="Times New Roman"/>
          <w:kern w:val="0"/>
          <w:sz w:val="20"/>
          <w:szCs w:val="20"/>
          <w:u w:val="single"/>
        </w:rPr>
        <w:t>LTM</w:t>
      </w:r>
    </w:p>
    <w:p w14:paraId="703CF6AA" w14:textId="77777777" w:rsidR="002F6ACB" w:rsidRDefault="002F6ACB" w:rsidP="002F6ACB">
      <w:pPr>
        <w:widowControl/>
        <w:adjustRightInd w:val="0"/>
        <w:snapToGrid w:val="0"/>
        <w:spacing w:afterLines="50" w:after="156" w:line="288" w:lineRule="auto"/>
        <w:rPr>
          <w:rFonts w:ascii="Arial" w:eastAsia="宋体" w:hAnsi="Arial" w:cs="Arial"/>
          <w:b/>
          <w:kern w:val="0"/>
          <w:sz w:val="20"/>
          <w:szCs w:val="20"/>
        </w:rPr>
      </w:pPr>
      <w:r>
        <w:rPr>
          <w:rFonts w:ascii="Arial" w:eastAsia="宋体" w:hAnsi="Arial" w:cs="Arial"/>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I</w:t>
      </w:r>
      <w:r w:rsidRPr="001D32A8">
        <w:rPr>
          <w:rFonts w:ascii="Arial" w:eastAsia="宋体" w:hAnsi="Arial" w:cs="Arial"/>
          <w:b/>
          <w:kern w:val="0"/>
          <w:sz w:val="20"/>
          <w:szCs w:val="20"/>
        </w:rPr>
        <w:t xml:space="preserve">f the SHR is not triggered by T304 threshold, i.e., triggered by T310/T312 threshold, the RACH type is </w:t>
      </w:r>
      <w:r>
        <w:rPr>
          <w:rFonts w:ascii="Arial" w:eastAsia="宋体" w:hAnsi="Arial" w:cs="Arial"/>
          <w:b/>
          <w:kern w:val="0"/>
          <w:sz w:val="20"/>
          <w:szCs w:val="20"/>
        </w:rPr>
        <w:t>useless</w:t>
      </w:r>
      <w:r w:rsidRPr="001D32A8">
        <w:rPr>
          <w:rFonts w:ascii="Arial" w:eastAsia="宋体" w:hAnsi="Arial" w:cs="Arial"/>
          <w:b/>
          <w:kern w:val="0"/>
          <w:sz w:val="20"/>
          <w:szCs w:val="20"/>
        </w:rPr>
        <w:t xml:space="preserve"> as the near failure is not due to RACH attempt to target</w:t>
      </w:r>
      <w:r>
        <w:rPr>
          <w:rFonts w:ascii="Arial" w:eastAsia="宋体" w:hAnsi="Arial" w:cs="Arial"/>
          <w:b/>
          <w:kern w:val="0"/>
          <w:sz w:val="20"/>
          <w:szCs w:val="20"/>
        </w:rPr>
        <w:t>,</w:t>
      </w:r>
      <w:r w:rsidRPr="001D32A8">
        <w:rPr>
          <w:rFonts w:ascii="Arial" w:eastAsia="宋体" w:hAnsi="Arial" w:cs="Arial"/>
          <w:b/>
          <w:kern w:val="0"/>
          <w:sz w:val="20"/>
          <w:szCs w:val="20"/>
        </w:rPr>
        <w:t xml:space="preserve"> but </w:t>
      </w:r>
      <w:r>
        <w:rPr>
          <w:rFonts w:ascii="Arial" w:eastAsia="宋体" w:hAnsi="Arial" w:cs="Arial"/>
          <w:b/>
          <w:kern w:val="0"/>
          <w:sz w:val="20"/>
          <w:szCs w:val="20"/>
        </w:rPr>
        <w:t xml:space="preserve">is </w:t>
      </w:r>
      <w:r w:rsidRPr="001D32A8">
        <w:rPr>
          <w:rFonts w:ascii="Arial" w:eastAsia="宋体" w:hAnsi="Arial" w:cs="Arial"/>
          <w:b/>
          <w:kern w:val="0"/>
          <w:sz w:val="20"/>
          <w:szCs w:val="20"/>
        </w:rPr>
        <w:t xml:space="preserve">due to poor radio at </w:t>
      </w:r>
      <w:r>
        <w:rPr>
          <w:rFonts w:ascii="Arial" w:eastAsia="宋体" w:hAnsi="Arial" w:cs="Arial"/>
          <w:b/>
          <w:kern w:val="0"/>
          <w:sz w:val="20"/>
          <w:szCs w:val="20"/>
        </w:rPr>
        <w:t xml:space="preserve">the </w:t>
      </w:r>
      <w:r w:rsidRPr="001D32A8">
        <w:rPr>
          <w:rFonts w:ascii="Arial" w:eastAsia="宋体" w:hAnsi="Arial" w:cs="Arial"/>
          <w:b/>
          <w:kern w:val="0"/>
          <w:sz w:val="20"/>
          <w:szCs w:val="20"/>
        </w:rPr>
        <w:t>source and/or too-late HO command.</w:t>
      </w:r>
    </w:p>
    <w:p w14:paraId="6DCFCE84" w14:textId="77777777" w:rsidR="002F6ACB" w:rsidRDefault="002F6ACB" w:rsidP="002F6ACB">
      <w:pPr>
        <w:widowControl/>
        <w:adjustRightInd w:val="0"/>
        <w:snapToGrid w:val="0"/>
        <w:spacing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the RACH type in SHR for LTM, the following two options can be considered:</w:t>
      </w:r>
    </w:p>
    <w:p w14:paraId="58329A68" w14:textId="77777777" w:rsidR="002F6ACB" w:rsidRPr="00404BB8" w:rsidRDefault="002F6ACB" w:rsidP="002F6ACB">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404BB8">
        <w:rPr>
          <w:rFonts w:ascii="Arial" w:eastAsia="宋体" w:hAnsi="Arial" w:cs="Arial"/>
          <w:b/>
          <w:kern w:val="0"/>
          <w:sz w:val="20"/>
          <w:szCs w:val="20"/>
        </w:rPr>
        <w:t>Option 1: Revert the</w:t>
      </w:r>
      <w:r>
        <w:rPr>
          <w:rFonts w:ascii="Arial" w:eastAsia="宋体" w:hAnsi="Arial" w:cs="Arial"/>
          <w:b/>
          <w:kern w:val="0"/>
          <w:sz w:val="20"/>
          <w:szCs w:val="20"/>
        </w:rPr>
        <w:t xml:space="preserve"> previous</w:t>
      </w:r>
      <w:r w:rsidRPr="00404BB8">
        <w:rPr>
          <w:rFonts w:ascii="Arial" w:eastAsia="宋体" w:hAnsi="Arial" w:cs="Arial"/>
          <w:b/>
          <w:kern w:val="0"/>
          <w:sz w:val="20"/>
          <w:szCs w:val="20"/>
        </w:rPr>
        <w:t xml:space="preserve"> agreement, i.e., no explicit indicator in SHR on whether the successful LTM execution was RACH-less or RACH-based.</w:t>
      </w:r>
      <w:r>
        <w:rPr>
          <w:rFonts w:ascii="Arial" w:eastAsia="宋体" w:hAnsi="Arial" w:cs="Arial"/>
          <w:b/>
          <w:kern w:val="0"/>
          <w:sz w:val="20"/>
          <w:szCs w:val="20"/>
        </w:rPr>
        <w:t xml:space="preserve"> The RACH type can be </w:t>
      </w:r>
      <w:r>
        <w:rPr>
          <w:rFonts w:ascii="Arial" w:eastAsia="宋体" w:hAnsi="Arial" w:cs="Arial" w:hint="eastAsia"/>
          <w:b/>
          <w:kern w:val="0"/>
          <w:sz w:val="20"/>
          <w:szCs w:val="20"/>
        </w:rPr>
        <w:t>explicitly</w:t>
      </w:r>
      <w:r>
        <w:rPr>
          <w:rFonts w:ascii="Arial" w:eastAsia="宋体" w:hAnsi="Arial" w:cs="Arial"/>
          <w:b/>
          <w:kern w:val="0"/>
          <w:sz w:val="20"/>
          <w:szCs w:val="20"/>
        </w:rPr>
        <w:t xml:space="preserve"> indicated by the presence of RA info in SHR.</w:t>
      </w:r>
    </w:p>
    <w:p w14:paraId="285A7CBF" w14:textId="77777777" w:rsidR="002F6ACB" w:rsidRPr="00AB52CB" w:rsidRDefault="002F6ACB" w:rsidP="002F6ACB">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AB52CB">
        <w:rPr>
          <w:rFonts w:ascii="Arial" w:eastAsia="宋体" w:hAnsi="Arial" w:cs="Arial"/>
          <w:b/>
          <w:kern w:val="0"/>
          <w:sz w:val="20"/>
          <w:szCs w:val="20"/>
        </w:rPr>
        <w:t>Option 2: For RACH-less LTM, the UE logs and reports whether and how the UE got the TA value used for a near-failure LTM switch (</w:t>
      </w:r>
      <w:proofErr w:type="spellStart"/>
      <w:r w:rsidRPr="00AB52CB">
        <w:rPr>
          <w:rFonts w:ascii="Arial" w:eastAsia="宋体" w:hAnsi="Arial" w:cs="Arial"/>
          <w:b/>
          <w:kern w:val="0"/>
          <w:sz w:val="20"/>
          <w:szCs w:val="20"/>
        </w:rPr>
        <w:t>gNB</w:t>
      </w:r>
      <w:proofErr w:type="spellEnd"/>
      <w:r w:rsidRPr="00AB52CB">
        <w:rPr>
          <w:rFonts w:ascii="Arial" w:eastAsia="宋体" w:hAnsi="Arial" w:cs="Arial"/>
          <w:b/>
          <w:kern w:val="0"/>
          <w:sz w:val="20"/>
          <w:szCs w:val="20"/>
        </w:rPr>
        <w:t xml:space="preserve"> indicated or UE determined) in the SHR. The presen</w:t>
      </w:r>
      <w:r>
        <w:rPr>
          <w:rFonts w:ascii="Arial" w:eastAsia="宋体" w:hAnsi="Arial" w:cs="Arial"/>
          <w:b/>
          <w:kern w:val="0"/>
          <w:sz w:val="20"/>
          <w:szCs w:val="20"/>
        </w:rPr>
        <w:t>ce</w:t>
      </w:r>
      <w:r w:rsidRPr="00AB52CB">
        <w:rPr>
          <w:rFonts w:ascii="Arial" w:eastAsia="宋体" w:hAnsi="Arial" w:cs="Arial"/>
          <w:b/>
          <w:kern w:val="0"/>
          <w:sz w:val="20"/>
          <w:szCs w:val="20"/>
        </w:rPr>
        <w:t xml:space="preserve"> of TA value source </w:t>
      </w:r>
      <w:r>
        <w:rPr>
          <w:rFonts w:ascii="Arial" w:eastAsia="宋体" w:hAnsi="Arial" w:cs="Arial"/>
          <w:b/>
          <w:kern w:val="0"/>
          <w:sz w:val="20"/>
          <w:szCs w:val="20"/>
        </w:rPr>
        <w:t>can indicate</w:t>
      </w:r>
      <w:r w:rsidRPr="00AB52CB">
        <w:rPr>
          <w:rFonts w:ascii="Arial" w:eastAsia="宋体" w:hAnsi="Arial" w:cs="Arial"/>
          <w:b/>
          <w:kern w:val="0"/>
          <w:sz w:val="20"/>
          <w:szCs w:val="20"/>
        </w:rPr>
        <w:t xml:space="preserve"> RACH-less LTM.</w:t>
      </w:r>
    </w:p>
    <w:p w14:paraId="58DA6644" w14:textId="1ADCC8EA" w:rsidR="00323FBC" w:rsidRDefault="00323FBC" w:rsidP="00690ABB">
      <w:pPr>
        <w:spacing w:before="120" w:after="120"/>
        <w:rPr>
          <w:rFonts w:ascii="Times New Roman" w:hAnsi="Times New Roman" w:cs="Times New Roman"/>
          <w:kern w:val="0"/>
          <w:sz w:val="20"/>
          <w:szCs w:val="20"/>
          <w:u w:val="single"/>
        </w:rPr>
      </w:pPr>
    </w:p>
    <w:p w14:paraId="23148B5B" w14:textId="47439C19" w:rsidR="00323FBC" w:rsidRDefault="00323FBC" w:rsidP="00690ABB">
      <w:pPr>
        <w:spacing w:before="120" w:after="120"/>
        <w:rPr>
          <w:rFonts w:ascii="Times New Roman" w:hAnsi="Times New Roman" w:cs="Times New Roman"/>
          <w:kern w:val="0"/>
          <w:sz w:val="20"/>
          <w:szCs w:val="20"/>
          <w:u w:val="single"/>
        </w:rPr>
      </w:pPr>
      <w:r w:rsidRPr="00323FBC">
        <w:rPr>
          <w:rFonts w:ascii="Times New Roman" w:hAnsi="Times New Roman" w:cs="Times New Roman"/>
          <w:kern w:val="0"/>
          <w:sz w:val="20"/>
          <w:szCs w:val="20"/>
          <w:u w:val="single"/>
        </w:rPr>
        <w:t>CHO with candidate SCG</w:t>
      </w:r>
    </w:p>
    <w:p w14:paraId="14452D52" w14:textId="77777777" w:rsidR="00A04DEC" w:rsidRDefault="00A04DEC" w:rsidP="00A04DEC">
      <w:pPr>
        <w:widowControl/>
        <w:adjustRightInd w:val="0"/>
        <w:snapToGrid w:val="0"/>
        <w:spacing w:before="120" w:after="120"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2</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another triggering event for the SHR report, i.e., the </w:t>
      </w:r>
      <w:r w:rsidRPr="00796CB5">
        <w:rPr>
          <w:rFonts w:ascii="Arial" w:eastAsia="宋体" w:hAnsi="Arial" w:cs="Arial"/>
          <w:b/>
          <w:kern w:val="0"/>
          <w:sz w:val="20"/>
          <w:szCs w:val="20"/>
        </w:rPr>
        <w:t>time gap between the time when conditions for CHO and CPAC are met exceeds a configured threshold</w:t>
      </w:r>
      <w:r w:rsidRPr="009D2B4E">
        <w:rPr>
          <w:rFonts w:ascii="Arial" w:eastAsia="宋体" w:hAnsi="Arial" w:cs="Arial"/>
          <w:b/>
          <w:kern w:val="0"/>
          <w:sz w:val="20"/>
          <w:szCs w:val="20"/>
        </w:rPr>
        <w:t>.</w:t>
      </w:r>
    </w:p>
    <w:p w14:paraId="3CE86480" w14:textId="77777777" w:rsidR="00A04DEC" w:rsidRDefault="00A04DEC" w:rsidP="00A04DEC">
      <w:pPr>
        <w:widowControl/>
        <w:adjustRightInd w:val="0"/>
        <w:snapToGrid w:val="0"/>
        <w:spacing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3</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For the near-failure </w:t>
      </w:r>
      <w:r w:rsidRPr="006F635D">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introduce the following information in the SHR report:</w:t>
      </w:r>
    </w:p>
    <w:p w14:paraId="3A6467CE" w14:textId="77777777" w:rsidR="00A04DEC" w:rsidRDefault="00A04DEC" w:rsidP="00A04DEC">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w:t>
      </w:r>
      <w:r w:rsidRPr="009D2B4E">
        <w:rPr>
          <w:rFonts w:ascii="Arial" w:eastAsia="宋体" w:hAnsi="Arial" w:cs="Arial"/>
          <w:b/>
          <w:kern w:val="0"/>
          <w:sz w:val="20"/>
          <w:szCs w:val="20"/>
        </w:rPr>
        <w:t xml:space="preserve">ime difference </w:t>
      </w:r>
      <w:r w:rsidRPr="002B4E08">
        <w:rPr>
          <w:rFonts w:ascii="Arial" w:eastAsia="宋体" w:hAnsi="Arial" w:cs="Arial"/>
          <w:b/>
          <w:kern w:val="0"/>
          <w:sz w:val="20"/>
          <w:szCs w:val="20"/>
        </w:rPr>
        <w:t>time gap between the first met condition (CHO or CPAC) and the second met condition (CPAC or CHO)</w:t>
      </w:r>
      <w:r w:rsidRPr="009D2B4E">
        <w:rPr>
          <w:rFonts w:ascii="Arial" w:eastAsia="宋体" w:hAnsi="Arial" w:cs="Arial"/>
          <w:b/>
          <w:kern w:val="0"/>
          <w:sz w:val="20"/>
          <w:szCs w:val="20"/>
        </w:rPr>
        <w:t>.</w:t>
      </w:r>
    </w:p>
    <w:p w14:paraId="38EF137E" w14:textId="77777777" w:rsidR="00A04DEC" w:rsidRPr="00086D74" w:rsidRDefault="00A04DEC" w:rsidP="00A04DEC">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The first fulfilled event, CHO or CPAC.</w:t>
      </w:r>
    </w:p>
    <w:p w14:paraId="1B7A88A5" w14:textId="46CB9174" w:rsidR="00323FBC" w:rsidRPr="00A04DEC" w:rsidRDefault="00323FBC" w:rsidP="00A04DEC">
      <w:pPr>
        <w:widowControl/>
        <w:adjustRightInd w:val="0"/>
        <w:snapToGrid w:val="0"/>
        <w:spacing w:line="288" w:lineRule="auto"/>
        <w:rPr>
          <w:rFonts w:ascii="Arial" w:eastAsia="宋体" w:hAnsi="Arial" w:cs="Arial" w:hint="eastAsia"/>
          <w:b/>
          <w:kern w:val="0"/>
          <w:sz w:val="20"/>
          <w:szCs w:val="20"/>
        </w:rPr>
      </w:pP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sectPr w:rsidR="00834B75" w:rsidRPr="005926D2"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13B2E" w14:textId="77777777" w:rsidR="00B37EE5" w:rsidRDefault="00B37EE5" w:rsidP="00BC75EF">
      <w:r>
        <w:separator/>
      </w:r>
    </w:p>
  </w:endnote>
  <w:endnote w:type="continuationSeparator" w:id="0">
    <w:p w14:paraId="51FCAD34" w14:textId="77777777" w:rsidR="00B37EE5" w:rsidRDefault="00B37EE5" w:rsidP="00BC75EF">
      <w:r>
        <w:continuationSeparator/>
      </w:r>
    </w:p>
  </w:endnote>
  <w:endnote w:type="continuationNotice" w:id="1">
    <w:p w14:paraId="017910F6" w14:textId="77777777" w:rsidR="00B37EE5" w:rsidRDefault="00B3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676F7" w14:textId="77777777" w:rsidR="00B37EE5" w:rsidRDefault="00B37EE5" w:rsidP="00BC75EF">
      <w:r>
        <w:separator/>
      </w:r>
    </w:p>
  </w:footnote>
  <w:footnote w:type="continuationSeparator" w:id="0">
    <w:p w14:paraId="336CFAEA" w14:textId="77777777" w:rsidR="00B37EE5" w:rsidRDefault="00B37EE5" w:rsidP="00BC75EF">
      <w:r>
        <w:continuationSeparator/>
      </w:r>
    </w:p>
  </w:footnote>
  <w:footnote w:type="continuationNotice" w:id="1">
    <w:p w14:paraId="7214F247" w14:textId="77777777" w:rsidR="00B37EE5" w:rsidRDefault="00B37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CC9"/>
    <w:multiLevelType w:val="hybridMultilevel"/>
    <w:tmpl w:val="5CE667A2"/>
    <w:lvl w:ilvl="0" w:tplc="79BCC7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523231"/>
    <w:multiLevelType w:val="hybridMultilevel"/>
    <w:tmpl w:val="F59ACE5A"/>
    <w:lvl w:ilvl="0" w:tplc="ADD8D0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8106C1"/>
    <w:multiLevelType w:val="hybridMultilevel"/>
    <w:tmpl w:val="BA1C5186"/>
    <w:lvl w:ilvl="0" w:tplc="3796C7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FA27BE"/>
    <w:multiLevelType w:val="hybridMultilevel"/>
    <w:tmpl w:val="A99C4D54"/>
    <w:lvl w:ilvl="0" w:tplc="C01A3A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2"/>
  </w:num>
  <w:num w:numId="3">
    <w:abstractNumId w:val="23"/>
  </w:num>
  <w:num w:numId="4">
    <w:abstractNumId w:val="21"/>
  </w:num>
  <w:num w:numId="5">
    <w:abstractNumId w:val="31"/>
  </w:num>
  <w:num w:numId="6">
    <w:abstractNumId w:val="25"/>
  </w:num>
  <w:num w:numId="7">
    <w:abstractNumId w:val="20"/>
  </w:num>
  <w:num w:numId="8">
    <w:abstractNumId w:val="5"/>
  </w:num>
  <w:num w:numId="9">
    <w:abstractNumId w:val="3"/>
  </w:num>
  <w:num w:numId="10">
    <w:abstractNumId w:val="10"/>
  </w:num>
  <w:num w:numId="11">
    <w:abstractNumId w:val="9"/>
  </w:num>
  <w:num w:numId="12">
    <w:abstractNumId w:val="2"/>
  </w:num>
  <w:num w:numId="13">
    <w:abstractNumId w:val="1"/>
  </w:num>
  <w:num w:numId="14">
    <w:abstractNumId w:val="18"/>
  </w:num>
  <w:num w:numId="15">
    <w:abstractNumId w:val="12"/>
  </w:num>
  <w:num w:numId="16">
    <w:abstractNumId w:val="27"/>
  </w:num>
  <w:num w:numId="17">
    <w:abstractNumId w:val="16"/>
  </w:num>
  <w:num w:numId="18">
    <w:abstractNumId w:val="14"/>
  </w:num>
  <w:num w:numId="19">
    <w:abstractNumId w:val="26"/>
  </w:num>
  <w:num w:numId="20">
    <w:abstractNumId w:val="32"/>
  </w:num>
  <w:num w:numId="21">
    <w:abstractNumId w:val="22"/>
  </w:num>
  <w:num w:numId="22">
    <w:abstractNumId w:val="30"/>
  </w:num>
  <w:num w:numId="23">
    <w:abstractNumId w:val="34"/>
  </w:num>
  <w:num w:numId="24">
    <w:abstractNumId w:val="6"/>
  </w:num>
  <w:num w:numId="25">
    <w:abstractNumId w:val="8"/>
  </w:num>
  <w:num w:numId="26">
    <w:abstractNumId w:val="11"/>
  </w:num>
  <w:num w:numId="27">
    <w:abstractNumId w:val="17"/>
  </w:num>
  <w:num w:numId="28">
    <w:abstractNumId w:val="32"/>
  </w:num>
  <w:num w:numId="29">
    <w:abstractNumId w:val="35"/>
  </w:num>
  <w:num w:numId="30">
    <w:abstractNumId w:val="33"/>
  </w:num>
  <w:num w:numId="31">
    <w:abstractNumId w:val="29"/>
  </w:num>
  <w:num w:numId="32">
    <w:abstractNumId w:val="19"/>
  </w:num>
  <w:num w:numId="33">
    <w:abstractNumId w:val="13"/>
  </w:num>
  <w:num w:numId="34">
    <w:abstractNumId w:val="32"/>
  </w:num>
  <w:num w:numId="35">
    <w:abstractNumId w:val="4"/>
  </w:num>
  <w:num w:numId="36">
    <w:abstractNumId w:val="24"/>
  </w:num>
  <w:num w:numId="37">
    <w:abstractNumId w:val="15"/>
  </w:num>
  <w:num w:numId="38">
    <w:abstractNumId w:val="0"/>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mwrAUAEze1HSwAAAA="/>
  </w:docVars>
  <w:rsids>
    <w:rsidRoot w:val="001A4160"/>
    <w:rsid w:val="00000AD7"/>
    <w:rsid w:val="0000214D"/>
    <w:rsid w:val="00004E14"/>
    <w:rsid w:val="0000561A"/>
    <w:rsid w:val="00007467"/>
    <w:rsid w:val="00007CA3"/>
    <w:rsid w:val="00011D0B"/>
    <w:rsid w:val="0001254C"/>
    <w:rsid w:val="00015AE7"/>
    <w:rsid w:val="00015F89"/>
    <w:rsid w:val="00017460"/>
    <w:rsid w:val="000200A5"/>
    <w:rsid w:val="0002058F"/>
    <w:rsid w:val="00021069"/>
    <w:rsid w:val="00021746"/>
    <w:rsid w:val="00021EE1"/>
    <w:rsid w:val="00023AA9"/>
    <w:rsid w:val="00025FEE"/>
    <w:rsid w:val="0002614D"/>
    <w:rsid w:val="00026910"/>
    <w:rsid w:val="00027A7F"/>
    <w:rsid w:val="000302BA"/>
    <w:rsid w:val="00030468"/>
    <w:rsid w:val="000331CB"/>
    <w:rsid w:val="00041557"/>
    <w:rsid w:val="000428B2"/>
    <w:rsid w:val="000462A1"/>
    <w:rsid w:val="000462C2"/>
    <w:rsid w:val="00051E93"/>
    <w:rsid w:val="00052B93"/>
    <w:rsid w:val="00053271"/>
    <w:rsid w:val="00054C0C"/>
    <w:rsid w:val="00055047"/>
    <w:rsid w:val="000556C6"/>
    <w:rsid w:val="0005600D"/>
    <w:rsid w:val="00056A19"/>
    <w:rsid w:val="00060B51"/>
    <w:rsid w:val="0006116B"/>
    <w:rsid w:val="000629C5"/>
    <w:rsid w:val="00066B37"/>
    <w:rsid w:val="0007013D"/>
    <w:rsid w:val="00070A58"/>
    <w:rsid w:val="000713BD"/>
    <w:rsid w:val="00071510"/>
    <w:rsid w:val="00072230"/>
    <w:rsid w:val="00073CC4"/>
    <w:rsid w:val="00077F7C"/>
    <w:rsid w:val="00082140"/>
    <w:rsid w:val="000864DA"/>
    <w:rsid w:val="00086D74"/>
    <w:rsid w:val="00087260"/>
    <w:rsid w:val="00090A1D"/>
    <w:rsid w:val="00091D2A"/>
    <w:rsid w:val="00092FD7"/>
    <w:rsid w:val="00094C2F"/>
    <w:rsid w:val="00097920"/>
    <w:rsid w:val="000A358C"/>
    <w:rsid w:val="000B1969"/>
    <w:rsid w:val="000B671E"/>
    <w:rsid w:val="000C2E35"/>
    <w:rsid w:val="000C301F"/>
    <w:rsid w:val="000C307B"/>
    <w:rsid w:val="000C3C2D"/>
    <w:rsid w:val="000C6DD6"/>
    <w:rsid w:val="000D07DD"/>
    <w:rsid w:val="000D12C1"/>
    <w:rsid w:val="000D27D3"/>
    <w:rsid w:val="000D283A"/>
    <w:rsid w:val="000D5EA5"/>
    <w:rsid w:val="000E03CD"/>
    <w:rsid w:val="000E1298"/>
    <w:rsid w:val="000E1890"/>
    <w:rsid w:val="000E1BEE"/>
    <w:rsid w:val="000E204F"/>
    <w:rsid w:val="000E290B"/>
    <w:rsid w:val="000E55C7"/>
    <w:rsid w:val="000E792C"/>
    <w:rsid w:val="000F1491"/>
    <w:rsid w:val="000F228A"/>
    <w:rsid w:val="000F3095"/>
    <w:rsid w:val="000F5B8C"/>
    <w:rsid w:val="000F6E06"/>
    <w:rsid w:val="000F7EB6"/>
    <w:rsid w:val="001012B9"/>
    <w:rsid w:val="001040EB"/>
    <w:rsid w:val="0010578C"/>
    <w:rsid w:val="0010699E"/>
    <w:rsid w:val="00111687"/>
    <w:rsid w:val="00112053"/>
    <w:rsid w:val="00113975"/>
    <w:rsid w:val="00114910"/>
    <w:rsid w:val="00117CAF"/>
    <w:rsid w:val="001216C0"/>
    <w:rsid w:val="00121CE3"/>
    <w:rsid w:val="00122CA9"/>
    <w:rsid w:val="00123267"/>
    <w:rsid w:val="001240BC"/>
    <w:rsid w:val="00124984"/>
    <w:rsid w:val="0012761B"/>
    <w:rsid w:val="00131648"/>
    <w:rsid w:val="001359A4"/>
    <w:rsid w:val="0013656D"/>
    <w:rsid w:val="00143285"/>
    <w:rsid w:val="00143557"/>
    <w:rsid w:val="0014363D"/>
    <w:rsid w:val="00144BA8"/>
    <w:rsid w:val="00153121"/>
    <w:rsid w:val="00154D61"/>
    <w:rsid w:val="00155F6D"/>
    <w:rsid w:val="00157393"/>
    <w:rsid w:val="00160132"/>
    <w:rsid w:val="001610FC"/>
    <w:rsid w:val="00161BA2"/>
    <w:rsid w:val="00163944"/>
    <w:rsid w:val="00165D7B"/>
    <w:rsid w:val="00167032"/>
    <w:rsid w:val="001707B3"/>
    <w:rsid w:val="00171F71"/>
    <w:rsid w:val="00172DCD"/>
    <w:rsid w:val="0017326C"/>
    <w:rsid w:val="00173F96"/>
    <w:rsid w:val="001745D1"/>
    <w:rsid w:val="00174D0D"/>
    <w:rsid w:val="0017530B"/>
    <w:rsid w:val="00175A7D"/>
    <w:rsid w:val="0017610F"/>
    <w:rsid w:val="001774BA"/>
    <w:rsid w:val="00177854"/>
    <w:rsid w:val="001831E8"/>
    <w:rsid w:val="00185E78"/>
    <w:rsid w:val="00190791"/>
    <w:rsid w:val="00197376"/>
    <w:rsid w:val="001A0C2A"/>
    <w:rsid w:val="001A1484"/>
    <w:rsid w:val="001A2A79"/>
    <w:rsid w:val="001A4160"/>
    <w:rsid w:val="001A49F8"/>
    <w:rsid w:val="001A540F"/>
    <w:rsid w:val="001A5C79"/>
    <w:rsid w:val="001A6D6E"/>
    <w:rsid w:val="001A70EE"/>
    <w:rsid w:val="001B14BD"/>
    <w:rsid w:val="001B14FF"/>
    <w:rsid w:val="001B4652"/>
    <w:rsid w:val="001B4B0F"/>
    <w:rsid w:val="001B4DCD"/>
    <w:rsid w:val="001B7234"/>
    <w:rsid w:val="001C1CA7"/>
    <w:rsid w:val="001C282F"/>
    <w:rsid w:val="001C2BB9"/>
    <w:rsid w:val="001C5AAB"/>
    <w:rsid w:val="001C7F9A"/>
    <w:rsid w:val="001D19DD"/>
    <w:rsid w:val="001D217D"/>
    <w:rsid w:val="001D2DC3"/>
    <w:rsid w:val="001D32A8"/>
    <w:rsid w:val="001D3659"/>
    <w:rsid w:val="001D39BA"/>
    <w:rsid w:val="001D4DE7"/>
    <w:rsid w:val="001D4E92"/>
    <w:rsid w:val="001D70F7"/>
    <w:rsid w:val="001E07A6"/>
    <w:rsid w:val="001E1B57"/>
    <w:rsid w:val="001E365F"/>
    <w:rsid w:val="001E4B84"/>
    <w:rsid w:val="001E4C33"/>
    <w:rsid w:val="001E51DB"/>
    <w:rsid w:val="001E52EC"/>
    <w:rsid w:val="001F1C9E"/>
    <w:rsid w:val="00204571"/>
    <w:rsid w:val="00206464"/>
    <w:rsid w:val="002104D7"/>
    <w:rsid w:val="0021089C"/>
    <w:rsid w:val="00211504"/>
    <w:rsid w:val="00214C71"/>
    <w:rsid w:val="002150BB"/>
    <w:rsid w:val="00215A5E"/>
    <w:rsid w:val="0021626B"/>
    <w:rsid w:val="00216B52"/>
    <w:rsid w:val="00217B02"/>
    <w:rsid w:val="00217B17"/>
    <w:rsid w:val="002259EC"/>
    <w:rsid w:val="00226B79"/>
    <w:rsid w:val="00226D6D"/>
    <w:rsid w:val="002272CD"/>
    <w:rsid w:val="00232486"/>
    <w:rsid w:val="00233ADD"/>
    <w:rsid w:val="00233C90"/>
    <w:rsid w:val="00234AF6"/>
    <w:rsid w:val="002357D8"/>
    <w:rsid w:val="00235E12"/>
    <w:rsid w:val="00236D3C"/>
    <w:rsid w:val="002466EE"/>
    <w:rsid w:val="00246B8F"/>
    <w:rsid w:val="002507EC"/>
    <w:rsid w:val="00253682"/>
    <w:rsid w:val="00253FA5"/>
    <w:rsid w:val="00255CE3"/>
    <w:rsid w:val="00260258"/>
    <w:rsid w:val="00262375"/>
    <w:rsid w:val="0026274E"/>
    <w:rsid w:val="0026354B"/>
    <w:rsid w:val="002669A9"/>
    <w:rsid w:val="0026785A"/>
    <w:rsid w:val="002704F4"/>
    <w:rsid w:val="00271858"/>
    <w:rsid w:val="00272AC5"/>
    <w:rsid w:val="002743C3"/>
    <w:rsid w:val="00274A2D"/>
    <w:rsid w:val="00275EEC"/>
    <w:rsid w:val="00277AE3"/>
    <w:rsid w:val="00282009"/>
    <w:rsid w:val="00283A88"/>
    <w:rsid w:val="00283AC7"/>
    <w:rsid w:val="00284380"/>
    <w:rsid w:val="00284C3C"/>
    <w:rsid w:val="00286E4F"/>
    <w:rsid w:val="0028764C"/>
    <w:rsid w:val="0029031A"/>
    <w:rsid w:val="002921BA"/>
    <w:rsid w:val="002950AF"/>
    <w:rsid w:val="002978AD"/>
    <w:rsid w:val="002A0219"/>
    <w:rsid w:val="002A5A56"/>
    <w:rsid w:val="002A66D8"/>
    <w:rsid w:val="002A7102"/>
    <w:rsid w:val="002A7984"/>
    <w:rsid w:val="002B226D"/>
    <w:rsid w:val="002B2B21"/>
    <w:rsid w:val="002B4E08"/>
    <w:rsid w:val="002B7AAC"/>
    <w:rsid w:val="002D06B6"/>
    <w:rsid w:val="002D53BF"/>
    <w:rsid w:val="002D5701"/>
    <w:rsid w:val="002D78AD"/>
    <w:rsid w:val="002E5035"/>
    <w:rsid w:val="002E7D20"/>
    <w:rsid w:val="002F0379"/>
    <w:rsid w:val="002F6831"/>
    <w:rsid w:val="002F6ACB"/>
    <w:rsid w:val="00300004"/>
    <w:rsid w:val="00300A9C"/>
    <w:rsid w:val="00306295"/>
    <w:rsid w:val="00306656"/>
    <w:rsid w:val="0030734A"/>
    <w:rsid w:val="00310B91"/>
    <w:rsid w:val="00314B17"/>
    <w:rsid w:val="003238C1"/>
    <w:rsid w:val="00323FBC"/>
    <w:rsid w:val="00325D31"/>
    <w:rsid w:val="00327832"/>
    <w:rsid w:val="00327B12"/>
    <w:rsid w:val="003320FA"/>
    <w:rsid w:val="00332BEB"/>
    <w:rsid w:val="00336178"/>
    <w:rsid w:val="00342F1E"/>
    <w:rsid w:val="00343331"/>
    <w:rsid w:val="0034763F"/>
    <w:rsid w:val="00350286"/>
    <w:rsid w:val="003507F3"/>
    <w:rsid w:val="003517AC"/>
    <w:rsid w:val="00352893"/>
    <w:rsid w:val="003620B9"/>
    <w:rsid w:val="003622BF"/>
    <w:rsid w:val="00363935"/>
    <w:rsid w:val="00365047"/>
    <w:rsid w:val="00365FF6"/>
    <w:rsid w:val="00367051"/>
    <w:rsid w:val="003675C3"/>
    <w:rsid w:val="00367FA8"/>
    <w:rsid w:val="0037050E"/>
    <w:rsid w:val="00373BF3"/>
    <w:rsid w:val="003740FC"/>
    <w:rsid w:val="00374523"/>
    <w:rsid w:val="00384694"/>
    <w:rsid w:val="003847BB"/>
    <w:rsid w:val="00385799"/>
    <w:rsid w:val="003860D6"/>
    <w:rsid w:val="003911DB"/>
    <w:rsid w:val="00391EBF"/>
    <w:rsid w:val="00394AE9"/>
    <w:rsid w:val="00395522"/>
    <w:rsid w:val="00395902"/>
    <w:rsid w:val="00397D7F"/>
    <w:rsid w:val="003A07F9"/>
    <w:rsid w:val="003A09B2"/>
    <w:rsid w:val="003A30A8"/>
    <w:rsid w:val="003A3BB4"/>
    <w:rsid w:val="003A4434"/>
    <w:rsid w:val="003A4611"/>
    <w:rsid w:val="003A52C1"/>
    <w:rsid w:val="003A5C28"/>
    <w:rsid w:val="003A5C49"/>
    <w:rsid w:val="003A68BE"/>
    <w:rsid w:val="003A7717"/>
    <w:rsid w:val="003A7D1E"/>
    <w:rsid w:val="003B178E"/>
    <w:rsid w:val="003B38F7"/>
    <w:rsid w:val="003B5CE1"/>
    <w:rsid w:val="003B6FA9"/>
    <w:rsid w:val="003C3768"/>
    <w:rsid w:val="003C3C41"/>
    <w:rsid w:val="003C5F57"/>
    <w:rsid w:val="003C74C3"/>
    <w:rsid w:val="003D3BDC"/>
    <w:rsid w:val="003D51A4"/>
    <w:rsid w:val="003E55E7"/>
    <w:rsid w:val="003E64E2"/>
    <w:rsid w:val="003F0E5C"/>
    <w:rsid w:val="003F1C2C"/>
    <w:rsid w:val="003F25F9"/>
    <w:rsid w:val="003F27BD"/>
    <w:rsid w:val="003F2AE1"/>
    <w:rsid w:val="003F5D06"/>
    <w:rsid w:val="003F5D43"/>
    <w:rsid w:val="003F5F81"/>
    <w:rsid w:val="003F6185"/>
    <w:rsid w:val="003F7B5A"/>
    <w:rsid w:val="003F7ED3"/>
    <w:rsid w:val="00400FBE"/>
    <w:rsid w:val="004031AB"/>
    <w:rsid w:val="0040478C"/>
    <w:rsid w:val="00404BB8"/>
    <w:rsid w:val="00406AC8"/>
    <w:rsid w:val="00410DE6"/>
    <w:rsid w:val="00412276"/>
    <w:rsid w:val="00412C43"/>
    <w:rsid w:val="00413C56"/>
    <w:rsid w:val="00414DAE"/>
    <w:rsid w:val="00415D7C"/>
    <w:rsid w:val="00415F63"/>
    <w:rsid w:val="0041773D"/>
    <w:rsid w:val="004268A3"/>
    <w:rsid w:val="00430EC4"/>
    <w:rsid w:val="00431B62"/>
    <w:rsid w:val="00432202"/>
    <w:rsid w:val="00432991"/>
    <w:rsid w:val="00433831"/>
    <w:rsid w:val="00433B77"/>
    <w:rsid w:val="00433D07"/>
    <w:rsid w:val="004342F7"/>
    <w:rsid w:val="00435C97"/>
    <w:rsid w:val="00435F59"/>
    <w:rsid w:val="004361CB"/>
    <w:rsid w:val="00445796"/>
    <w:rsid w:val="00446C8C"/>
    <w:rsid w:val="0044759F"/>
    <w:rsid w:val="004479AA"/>
    <w:rsid w:val="00450A18"/>
    <w:rsid w:val="00450BAD"/>
    <w:rsid w:val="00451985"/>
    <w:rsid w:val="0045450D"/>
    <w:rsid w:val="00456474"/>
    <w:rsid w:val="00457504"/>
    <w:rsid w:val="00457622"/>
    <w:rsid w:val="004607C2"/>
    <w:rsid w:val="00460E59"/>
    <w:rsid w:val="00463B92"/>
    <w:rsid w:val="00465F87"/>
    <w:rsid w:val="0046601E"/>
    <w:rsid w:val="00466CD6"/>
    <w:rsid w:val="004701F9"/>
    <w:rsid w:val="00470CDB"/>
    <w:rsid w:val="00473596"/>
    <w:rsid w:val="00473720"/>
    <w:rsid w:val="00473C34"/>
    <w:rsid w:val="00474AFA"/>
    <w:rsid w:val="004757A5"/>
    <w:rsid w:val="00477D10"/>
    <w:rsid w:val="004820B0"/>
    <w:rsid w:val="00482447"/>
    <w:rsid w:val="004851A4"/>
    <w:rsid w:val="0048548B"/>
    <w:rsid w:val="00485993"/>
    <w:rsid w:val="004871DA"/>
    <w:rsid w:val="00487F21"/>
    <w:rsid w:val="00492199"/>
    <w:rsid w:val="00495327"/>
    <w:rsid w:val="00495593"/>
    <w:rsid w:val="004A7400"/>
    <w:rsid w:val="004A78BB"/>
    <w:rsid w:val="004B2A10"/>
    <w:rsid w:val="004B3EE9"/>
    <w:rsid w:val="004B5D75"/>
    <w:rsid w:val="004B6811"/>
    <w:rsid w:val="004C20E2"/>
    <w:rsid w:val="004C3A2D"/>
    <w:rsid w:val="004C43B0"/>
    <w:rsid w:val="004C4628"/>
    <w:rsid w:val="004C535C"/>
    <w:rsid w:val="004D1B35"/>
    <w:rsid w:val="004D32BF"/>
    <w:rsid w:val="004D47E5"/>
    <w:rsid w:val="004D487F"/>
    <w:rsid w:val="004D5F06"/>
    <w:rsid w:val="004E0DA6"/>
    <w:rsid w:val="004E3216"/>
    <w:rsid w:val="004E463A"/>
    <w:rsid w:val="004F3264"/>
    <w:rsid w:val="004F36FF"/>
    <w:rsid w:val="004F5350"/>
    <w:rsid w:val="004F5C02"/>
    <w:rsid w:val="004F6F91"/>
    <w:rsid w:val="00500DF0"/>
    <w:rsid w:val="005011AB"/>
    <w:rsid w:val="005066C4"/>
    <w:rsid w:val="00506D72"/>
    <w:rsid w:val="0051353A"/>
    <w:rsid w:val="00513AEF"/>
    <w:rsid w:val="0051483E"/>
    <w:rsid w:val="005158AE"/>
    <w:rsid w:val="0052209D"/>
    <w:rsid w:val="0052354D"/>
    <w:rsid w:val="00526498"/>
    <w:rsid w:val="005316A2"/>
    <w:rsid w:val="00531C67"/>
    <w:rsid w:val="00532F1E"/>
    <w:rsid w:val="005333D6"/>
    <w:rsid w:val="005369FB"/>
    <w:rsid w:val="0053798D"/>
    <w:rsid w:val="00544167"/>
    <w:rsid w:val="0054486A"/>
    <w:rsid w:val="005457DB"/>
    <w:rsid w:val="00552105"/>
    <w:rsid w:val="005534F2"/>
    <w:rsid w:val="00554CA4"/>
    <w:rsid w:val="00555B74"/>
    <w:rsid w:val="00556728"/>
    <w:rsid w:val="00562D9A"/>
    <w:rsid w:val="00570A05"/>
    <w:rsid w:val="00570C72"/>
    <w:rsid w:val="00574017"/>
    <w:rsid w:val="00576E0B"/>
    <w:rsid w:val="005774E8"/>
    <w:rsid w:val="005779BB"/>
    <w:rsid w:val="005810B0"/>
    <w:rsid w:val="00581131"/>
    <w:rsid w:val="0058168D"/>
    <w:rsid w:val="00582A53"/>
    <w:rsid w:val="005846E6"/>
    <w:rsid w:val="005927EC"/>
    <w:rsid w:val="00594707"/>
    <w:rsid w:val="00596D7F"/>
    <w:rsid w:val="005A01A1"/>
    <w:rsid w:val="005A0C5A"/>
    <w:rsid w:val="005A3667"/>
    <w:rsid w:val="005A4224"/>
    <w:rsid w:val="005A6B11"/>
    <w:rsid w:val="005B69D8"/>
    <w:rsid w:val="005C2D00"/>
    <w:rsid w:val="005C318D"/>
    <w:rsid w:val="005C5950"/>
    <w:rsid w:val="005C6BA5"/>
    <w:rsid w:val="005D25A7"/>
    <w:rsid w:val="005D33AD"/>
    <w:rsid w:val="005D7611"/>
    <w:rsid w:val="005E0249"/>
    <w:rsid w:val="005E1237"/>
    <w:rsid w:val="005E1DFF"/>
    <w:rsid w:val="005E2B54"/>
    <w:rsid w:val="005E2C09"/>
    <w:rsid w:val="005E3CB0"/>
    <w:rsid w:val="005F3325"/>
    <w:rsid w:val="005F39A1"/>
    <w:rsid w:val="005F4A35"/>
    <w:rsid w:val="005F58DE"/>
    <w:rsid w:val="005F6296"/>
    <w:rsid w:val="005F71EE"/>
    <w:rsid w:val="0060427E"/>
    <w:rsid w:val="00610DCD"/>
    <w:rsid w:val="00611175"/>
    <w:rsid w:val="006112BB"/>
    <w:rsid w:val="0061136B"/>
    <w:rsid w:val="00614343"/>
    <w:rsid w:val="006143BA"/>
    <w:rsid w:val="00617558"/>
    <w:rsid w:val="00620033"/>
    <w:rsid w:val="006223D1"/>
    <w:rsid w:val="006229F8"/>
    <w:rsid w:val="006242E3"/>
    <w:rsid w:val="00624345"/>
    <w:rsid w:val="00630107"/>
    <w:rsid w:val="00630C92"/>
    <w:rsid w:val="00634A1D"/>
    <w:rsid w:val="006402E1"/>
    <w:rsid w:val="00641771"/>
    <w:rsid w:val="00643CE5"/>
    <w:rsid w:val="006455E1"/>
    <w:rsid w:val="00650E60"/>
    <w:rsid w:val="00653F37"/>
    <w:rsid w:val="006544BE"/>
    <w:rsid w:val="0065598B"/>
    <w:rsid w:val="0065762C"/>
    <w:rsid w:val="00661FB3"/>
    <w:rsid w:val="006623A8"/>
    <w:rsid w:val="00667792"/>
    <w:rsid w:val="006707F4"/>
    <w:rsid w:val="00673255"/>
    <w:rsid w:val="006756E1"/>
    <w:rsid w:val="00675A9B"/>
    <w:rsid w:val="006764A1"/>
    <w:rsid w:val="0067745C"/>
    <w:rsid w:val="006829FF"/>
    <w:rsid w:val="00682A43"/>
    <w:rsid w:val="006860A6"/>
    <w:rsid w:val="00687572"/>
    <w:rsid w:val="00690ABB"/>
    <w:rsid w:val="006935EC"/>
    <w:rsid w:val="006936A9"/>
    <w:rsid w:val="00696CE4"/>
    <w:rsid w:val="00697375"/>
    <w:rsid w:val="006976F2"/>
    <w:rsid w:val="00697A0B"/>
    <w:rsid w:val="006A07F7"/>
    <w:rsid w:val="006A0E90"/>
    <w:rsid w:val="006A124D"/>
    <w:rsid w:val="006A5868"/>
    <w:rsid w:val="006A75C0"/>
    <w:rsid w:val="006B17C4"/>
    <w:rsid w:val="006B29C0"/>
    <w:rsid w:val="006B3FD7"/>
    <w:rsid w:val="006C0258"/>
    <w:rsid w:val="006C1059"/>
    <w:rsid w:val="006C2E53"/>
    <w:rsid w:val="006D0661"/>
    <w:rsid w:val="006D3E95"/>
    <w:rsid w:val="006D577F"/>
    <w:rsid w:val="006D7E7C"/>
    <w:rsid w:val="006E097E"/>
    <w:rsid w:val="006E2DDE"/>
    <w:rsid w:val="006F0B5C"/>
    <w:rsid w:val="006F3B97"/>
    <w:rsid w:val="006F6144"/>
    <w:rsid w:val="006F635D"/>
    <w:rsid w:val="006F68B7"/>
    <w:rsid w:val="0070445B"/>
    <w:rsid w:val="00704F83"/>
    <w:rsid w:val="00707C3E"/>
    <w:rsid w:val="007106E1"/>
    <w:rsid w:val="00710DF4"/>
    <w:rsid w:val="00712454"/>
    <w:rsid w:val="00715294"/>
    <w:rsid w:val="00715DC1"/>
    <w:rsid w:val="00717473"/>
    <w:rsid w:val="007201C8"/>
    <w:rsid w:val="007217CF"/>
    <w:rsid w:val="00722117"/>
    <w:rsid w:val="00724535"/>
    <w:rsid w:val="00726077"/>
    <w:rsid w:val="007271ED"/>
    <w:rsid w:val="0073540A"/>
    <w:rsid w:val="00736070"/>
    <w:rsid w:val="00743061"/>
    <w:rsid w:val="007430D7"/>
    <w:rsid w:val="00743210"/>
    <w:rsid w:val="007452AC"/>
    <w:rsid w:val="007469B3"/>
    <w:rsid w:val="00761D21"/>
    <w:rsid w:val="00761DDC"/>
    <w:rsid w:val="007629DF"/>
    <w:rsid w:val="00762D11"/>
    <w:rsid w:val="007643B2"/>
    <w:rsid w:val="00765A0F"/>
    <w:rsid w:val="00765A1D"/>
    <w:rsid w:val="00766F66"/>
    <w:rsid w:val="00771B14"/>
    <w:rsid w:val="0077235B"/>
    <w:rsid w:val="007749A5"/>
    <w:rsid w:val="00775272"/>
    <w:rsid w:val="00777BF2"/>
    <w:rsid w:val="0078330A"/>
    <w:rsid w:val="00783626"/>
    <w:rsid w:val="00791BB3"/>
    <w:rsid w:val="00791C0D"/>
    <w:rsid w:val="0079242A"/>
    <w:rsid w:val="00793138"/>
    <w:rsid w:val="0079592A"/>
    <w:rsid w:val="00795AA0"/>
    <w:rsid w:val="00796CB5"/>
    <w:rsid w:val="007974DE"/>
    <w:rsid w:val="007976E9"/>
    <w:rsid w:val="007979BD"/>
    <w:rsid w:val="00797DF4"/>
    <w:rsid w:val="00797EB4"/>
    <w:rsid w:val="007A0CE4"/>
    <w:rsid w:val="007A4892"/>
    <w:rsid w:val="007A5242"/>
    <w:rsid w:val="007A70D4"/>
    <w:rsid w:val="007A790D"/>
    <w:rsid w:val="007B2172"/>
    <w:rsid w:val="007B2E37"/>
    <w:rsid w:val="007B3D06"/>
    <w:rsid w:val="007B4000"/>
    <w:rsid w:val="007B7AC6"/>
    <w:rsid w:val="007C4233"/>
    <w:rsid w:val="007C633C"/>
    <w:rsid w:val="007C673A"/>
    <w:rsid w:val="007D0EC8"/>
    <w:rsid w:val="007D2DA3"/>
    <w:rsid w:val="007D7EA6"/>
    <w:rsid w:val="007D7ECB"/>
    <w:rsid w:val="007E50F1"/>
    <w:rsid w:val="007E6D4F"/>
    <w:rsid w:val="007E7B86"/>
    <w:rsid w:val="007F05A8"/>
    <w:rsid w:val="0080346C"/>
    <w:rsid w:val="00803514"/>
    <w:rsid w:val="00803E3C"/>
    <w:rsid w:val="00805382"/>
    <w:rsid w:val="0080707B"/>
    <w:rsid w:val="00810AFE"/>
    <w:rsid w:val="00812E03"/>
    <w:rsid w:val="00813192"/>
    <w:rsid w:val="00814598"/>
    <w:rsid w:val="0081539F"/>
    <w:rsid w:val="00817CFA"/>
    <w:rsid w:val="00817F7B"/>
    <w:rsid w:val="00830C6B"/>
    <w:rsid w:val="00834B75"/>
    <w:rsid w:val="00835E61"/>
    <w:rsid w:val="00836C06"/>
    <w:rsid w:val="00840920"/>
    <w:rsid w:val="00841691"/>
    <w:rsid w:val="008416A5"/>
    <w:rsid w:val="008420E6"/>
    <w:rsid w:val="00842D95"/>
    <w:rsid w:val="00844715"/>
    <w:rsid w:val="0084490A"/>
    <w:rsid w:val="00845EEA"/>
    <w:rsid w:val="00847EB7"/>
    <w:rsid w:val="0085018B"/>
    <w:rsid w:val="008501B9"/>
    <w:rsid w:val="00851456"/>
    <w:rsid w:val="00851840"/>
    <w:rsid w:val="008527B7"/>
    <w:rsid w:val="00852925"/>
    <w:rsid w:val="00856827"/>
    <w:rsid w:val="008612D9"/>
    <w:rsid w:val="008612F5"/>
    <w:rsid w:val="00863170"/>
    <w:rsid w:val="0086507B"/>
    <w:rsid w:val="008665BA"/>
    <w:rsid w:val="0087326C"/>
    <w:rsid w:val="00873903"/>
    <w:rsid w:val="008757D4"/>
    <w:rsid w:val="0087632C"/>
    <w:rsid w:val="00876CB9"/>
    <w:rsid w:val="008809FF"/>
    <w:rsid w:val="00881746"/>
    <w:rsid w:val="008819A9"/>
    <w:rsid w:val="00887ACC"/>
    <w:rsid w:val="008921BB"/>
    <w:rsid w:val="00894FA7"/>
    <w:rsid w:val="008979A1"/>
    <w:rsid w:val="008A2834"/>
    <w:rsid w:val="008A30F2"/>
    <w:rsid w:val="008A60FE"/>
    <w:rsid w:val="008A68DE"/>
    <w:rsid w:val="008A703D"/>
    <w:rsid w:val="008B3E88"/>
    <w:rsid w:val="008B4207"/>
    <w:rsid w:val="008B4A73"/>
    <w:rsid w:val="008B6338"/>
    <w:rsid w:val="008C0745"/>
    <w:rsid w:val="008C147D"/>
    <w:rsid w:val="008C37E2"/>
    <w:rsid w:val="008C574B"/>
    <w:rsid w:val="008D04DB"/>
    <w:rsid w:val="008D0777"/>
    <w:rsid w:val="008D430A"/>
    <w:rsid w:val="008D6271"/>
    <w:rsid w:val="008D6B2A"/>
    <w:rsid w:val="008D7636"/>
    <w:rsid w:val="008D7EF6"/>
    <w:rsid w:val="008E0732"/>
    <w:rsid w:val="008E2598"/>
    <w:rsid w:val="008E2B47"/>
    <w:rsid w:val="008F0965"/>
    <w:rsid w:val="008F3BD2"/>
    <w:rsid w:val="008F692B"/>
    <w:rsid w:val="008F6C08"/>
    <w:rsid w:val="008F7FD2"/>
    <w:rsid w:val="00905742"/>
    <w:rsid w:val="009069CD"/>
    <w:rsid w:val="00911337"/>
    <w:rsid w:val="009139CF"/>
    <w:rsid w:val="0091514C"/>
    <w:rsid w:val="009155F8"/>
    <w:rsid w:val="00915865"/>
    <w:rsid w:val="00916855"/>
    <w:rsid w:val="009201B1"/>
    <w:rsid w:val="00921A9A"/>
    <w:rsid w:val="00924555"/>
    <w:rsid w:val="00927E03"/>
    <w:rsid w:val="00930DC0"/>
    <w:rsid w:val="00933DEC"/>
    <w:rsid w:val="00934F28"/>
    <w:rsid w:val="00935BF6"/>
    <w:rsid w:val="00937506"/>
    <w:rsid w:val="00937C72"/>
    <w:rsid w:val="00940C72"/>
    <w:rsid w:val="009415A3"/>
    <w:rsid w:val="00941E2C"/>
    <w:rsid w:val="0094643F"/>
    <w:rsid w:val="00950424"/>
    <w:rsid w:val="00951AF1"/>
    <w:rsid w:val="0095278A"/>
    <w:rsid w:val="00954DD8"/>
    <w:rsid w:val="0095607D"/>
    <w:rsid w:val="00957291"/>
    <w:rsid w:val="009629AC"/>
    <w:rsid w:val="00967F39"/>
    <w:rsid w:val="00973C50"/>
    <w:rsid w:val="00974125"/>
    <w:rsid w:val="0097683F"/>
    <w:rsid w:val="00977A88"/>
    <w:rsid w:val="00982D19"/>
    <w:rsid w:val="00984501"/>
    <w:rsid w:val="00986D1D"/>
    <w:rsid w:val="00987A0F"/>
    <w:rsid w:val="00991425"/>
    <w:rsid w:val="009927ED"/>
    <w:rsid w:val="009927F3"/>
    <w:rsid w:val="00995B85"/>
    <w:rsid w:val="00996E41"/>
    <w:rsid w:val="009A10B7"/>
    <w:rsid w:val="009A363D"/>
    <w:rsid w:val="009A56CA"/>
    <w:rsid w:val="009A6A45"/>
    <w:rsid w:val="009A7CFC"/>
    <w:rsid w:val="009B018D"/>
    <w:rsid w:val="009B35CD"/>
    <w:rsid w:val="009B566D"/>
    <w:rsid w:val="009B724E"/>
    <w:rsid w:val="009C1460"/>
    <w:rsid w:val="009C1759"/>
    <w:rsid w:val="009C571D"/>
    <w:rsid w:val="009C5AD8"/>
    <w:rsid w:val="009C64B2"/>
    <w:rsid w:val="009D00D1"/>
    <w:rsid w:val="009D2B4E"/>
    <w:rsid w:val="009D410F"/>
    <w:rsid w:val="009D45C0"/>
    <w:rsid w:val="009D4807"/>
    <w:rsid w:val="009D493E"/>
    <w:rsid w:val="009D7B39"/>
    <w:rsid w:val="009E25F3"/>
    <w:rsid w:val="009E2D4E"/>
    <w:rsid w:val="009E416A"/>
    <w:rsid w:val="009F04AA"/>
    <w:rsid w:val="009F0CD5"/>
    <w:rsid w:val="009F0F60"/>
    <w:rsid w:val="009F26A9"/>
    <w:rsid w:val="009F36D6"/>
    <w:rsid w:val="009F39D5"/>
    <w:rsid w:val="009F3A8E"/>
    <w:rsid w:val="009F4C17"/>
    <w:rsid w:val="009F6785"/>
    <w:rsid w:val="009F7B71"/>
    <w:rsid w:val="009F7FBC"/>
    <w:rsid w:val="00A00294"/>
    <w:rsid w:val="00A04DEC"/>
    <w:rsid w:val="00A056FE"/>
    <w:rsid w:val="00A11E68"/>
    <w:rsid w:val="00A15848"/>
    <w:rsid w:val="00A16C07"/>
    <w:rsid w:val="00A216E4"/>
    <w:rsid w:val="00A22375"/>
    <w:rsid w:val="00A23A87"/>
    <w:rsid w:val="00A24420"/>
    <w:rsid w:val="00A25492"/>
    <w:rsid w:val="00A2589D"/>
    <w:rsid w:val="00A258D9"/>
    <w:rsid w:val="00A26F38"/>
    <w:rsid w:val="00A305C1"/>
    <w:rsid w:val="00A3225F"/>
    <w:rsid w:val="00A3550A"/>
    <w:rsid w:val="00A37668"/>
    <w:rsid w:val="00A37890"/>
    <w:rsid w:val="00A4266E"/>
    <w:rsid w:val="00A44427"/>
    <w:rsid w:val="00A44C77"/>
    <w:rsid w:val="00A45464"/>
    <w:rsid w:val="00A45D00"/>
    <w:rsid w:val="00A46F65"/>
    <w:rsid w:val="00A50902"/>
    <w:rsid w:val="00A515C2"/>
    <w:rsid w:val="00A51DBE"/>
    <w:rsid w:val="00A5624E"/>
    <w:rsid w:val="00A60AA4"/>
    <w:rsid w:val="00A618DC"/>
    <w:rsid w:val="00A70EB3"/>
    <w:rsid w:val="00A728D8"/>
    <w:rsid w:val="00A73A49"/>
    <w:rsid w:val="00A74726"/>
    <w:rsid w:val="00A74AB1"/>
    <w:rsid w:val="00A74CA5"/>
    <w:rsid w:val="00A767FE"/>
    <w:rsid w:val="00A76A24"/>
    <w:rsid w:val="00A801E4"/>
    <w:rsid w:val="00A84530"/>
    <w:rsid w:val="00A86724"/>
    <w:rsid w:val="00A91504"/>
    <w:rsid w:val="00A928CE"/>
    <w:rsid w:val="00A92FE7"/>
    <w:rsid w:val="00A96DDC"/>
    <w:rsid w:val="00A96E35"/>
    <w:rsid w:val="00AA0A47"/>
    <w:rsid w:val="00AA0B59"/>
    <w:rsid w:val="00AA0DDD"/>
    <w:rsid w:val="00AA2255"/>
    <w:rsid w:val="00AA3129"/>
    <w:rsid w:val="00AA3303"/>
    <w:rsid w:val="00AA3D6A"/>
    <w:rsid w:val="00AA43DB"/>
    <w:rsid w:val="00AA4D1C"/>
    <w:rsid w:val="00AA6290"/>
    <w:rsid w:val="00AA6685"/>
    <w:rsid w:val="00AA6BF3"/>
    <w:rsid w:val="00AB1CBE"/>
    <w:rsid w:val="00AB2D69"/>
    <w:rsid w:val="00AB52CB"/>
    <w:rsid w:val="00AB6D8D"/>
    <w:rsid w:val="00AB7C22"/>
    <w:rsid w:val="00AC1188"/>
    <w:rsid w:val="00AC219B"/>
    <w:rsid w:val="00AC2479"/>
    <w:rsid w:val="00AC3110"/>
    <w:rsid w:val="00AC3D1D"/>
    <w:rsid w:val="00AC5BF3"/>
    <w:rsid w:val="00AC63FF"/>
    <w:rsid w:val="00AD3A67"/>
    <w:rsid w:val="00AD5544"/>
    <w:rsid w:val="00AD5E7F"/>
    <w:rsid w:val="00AD6CA5"/>
    <w:rsid w:val="00AE25E2"/>
    <w:rsid w:val="00AE40F3"/>
    <w:rsid w:val="00AE434E"/>
    <w:rsid w:val="00AE656C"/>
    <w:rsid w:val="00AF046E"/>
    <w:rsid w:val="00AF3646"/>
    <w:rsid w:val="00AF589F"/>
    <w:rsid w:val="00B006D5"/>
    <w:rsid w:val="00B06EC9"/>
    <w:rsid w:val="00B07188"/>
    <w:rsid w:val="00B11E69"/>
    <w:rsid w:val="00B12BFB"/>
    <w:rsid w:val="00B148FA"/>
    <w:rsid w:val="00B17E44"/>
    <w:rsid w:val="00B2267F"/>
    <w:rsid w:val="00B22D37"/>
    <w:rsid w:val="00B2341E"/>
    <w:rsid w:val="00B24B6F"/>
    <w:rsid w:val="00B26622"/>
    <w:rsid w:val="00B27B39"/>
    <w:rsid w:val="00B3428A"/>
    <w:rsid w:val="00B35225"/>
    <w:rsid w:val="00B364E5"/>
    <w:rsid w:val="00B36BE1"/>
    <w:rsid w:val="00B3782B"/>
    <w:rsid w:val="00B37EE5"/>
    <w:rsid w:val="00B40447"/>
    <w:rsid w:val="00B4095B"/>
    <w:rsid w:val="00B45F0A"/>
    <w:rsid w:val="00B50325"/>
    <w:rsid w:val="00B52AA0"/>
    <w:rsid w:val="00B548BF"/>
    <w:rsid w:val="00B55554"/>
    <w:rsid w:val="00B56DBC"/>
    <w:rsid w:val="00B6047F"/>
    <w:rsid w:val="00B61E40"/>
    <w:rsid w:val="00B61FE4"/>
    <w:rsid w:val="00B64857"/>
    <w:rsid w:val="00B65590"/>
    <w:rsid w:val="00B6731F"/>
    <w:rsid w:val="00B72616"/>
    <w:rsid w:val="00B72EE8"/>
    <w:rsid w:val="00B732E2"/>
    <w:rsid w:val="00B80ED3"/>
    <w:rsid w:val="00B82E28"/>
    <w:rsid w:val="00B83917"/>
    <w:rsid w:val="00B83D59"/>
    <w:rsid w:val="00B84401"/>
    <w:rsid w:val="00B844BB"/>
    <w:rsid w:val="00B84F53"/>
    <w:rsid w:val="00B86BCE"/>
    <w:rsid w:val="00B93B7F"/>
    <w:rsid w:val="00B976F8"/>
    <w:rsid w:val="00BA3C0F"/>
    <w:rsid w:val="00BA5F95"/>
    <w:rsid w:val="00BA6A33"/>
    <w:rsid w:val="00BB2AFD"/>
    <w:rsid w:val="00BB4245"/>
    <w:rsid w:val="00BB4F88"/>
    <w:rsid w:val="00BB54F7"/>
    <w:rsid w:val="00BC01AC"/>
    <w:rsid w:val="00BC49CE"/>
    <w:rsid w:val="00BC4CF2"/>
    <w:rsid w:val="00BC5012"/>
    <w:rsid w:val="00BC75EF"/>
    <w:rsid w:val="00BC7906"/>
    <w:rsid w:val="00BC7A16"/>
    <w:rsid w:val="00BD72D7"/>
    <w:rsid w:val="00BE055B"/>
    <w:rsid w:val="00BE0A0D"/>
    <w:rsid w:val="00BE28AE"/>
    <w:rsid w:val="00BE4FDD"/>
    <w:rsid w:val="00BE679F"/>
    <w:rsid w:val="00BF0622"/>
    <w:rsid w:val="00BF1948"/>
    <w:rsid w:val="00BF2BD1"/>
    <w:rsid w:val="00BF708C"/>
    <w:rsid w:val="00BF7DBE"/>
    <w:rsid w:val="00C006C7"/>
    <w:rsid w:val="00C02E80"/>
    <w:rsid w:val="00C039BF"/>
    <w:rsid w:val="00C0491A"/>
    <w:rsid w:val="00C1502B"/>
    <w:rsid w:val="00C1702C"/>
    <w:rsid w:val="00C2036B"/>
    <w:rsid w:val="00C218F9"/>
    <w:rsid w:val="00C23E64"/>
    <w:rsid w:val="00C24034"/>
    <w:rsid w:val="00C244A5"/>
    <w:rsid w:val="00C256A2"/>
    <w:rsid w:val="00C26094"/>
    <w:rsid w:val="00C26912"/>
    <w:rsid w:val="00C33059"/>
    <w:rsid w:val="00C34CB1"/>
    <w:rsid w:val="00C3588E"/>
    <w:rsid w:val="00C36BBB"/>
    <w:rsid w:val="00C37E45"/>
    <w:rsid w:val="00C44178"/>
    <w:rsid w:val="00C5075A"/>
    <w:rsid w:val="00C51779"/>
    <w:rsid w:val="00C518D3"/>
    <w:rsid w:val="00C5526C"/>
    <w:rsid w:val="00C57EBE"/>
    <w:rsid w:val="00C60277"/>
    <w:rsid w:val="00C60E85"/>
    <w:rsid w:val="00C62A86"/>
    <w:rsid w:val="00C631DA"/>
    <w:rsid w:val="00C64984"/>
    <w:rsid w:val="00C65C9A"/>
    <w:rsid w:val="00C66375"/>
    <w:rsid w:val="00C6799E"/>
    <w:rsid w:val="00C73C35"/>
    <w:rsid w:val="00C73F6E"/>
    <w:rsid w:val="00C74980"/>
    <w:rsid w:val="00C75BD2"/>
    <w:rsid w:val="00C813BC"/>
    <w:rsid w:val="00C853D8"/>
    <w:rsid w:val="00C92843"/>
    <w:rsid w:val="00C92EC7"/>
    <w:rsid w:val="00C93C66"/>
    <w:rsid w:val="00C943DE"/>
    <w:rsid w:val="00C953BA"/>
    <w:rsid w:val="00CA2466"/>
    <w:rsid w:val="00CA47E3"/>
    <w:rsid w:val="00CA7073"/>
    <w:rsid w:val="00CB200F"/>
    <w:rsid w:val="00CB3EE4"/>
    <w:rsid w:val="00CB651E"/>
    <w:rsid w:val="00CB6E27"/>
    <w:rsid w:val="00CB6FA7"/>
    <w:rsid w:val="00CC0A0D"/>
    <w:rsid w:val="00CC6536"/>
    <w:rsid w:val="00CC662D"/>
    <w:rsid w:val="00CD1ECE"/>
    <w:rsid w:val="00CD2212"/>
    <w:rsid w:val="00CD290D"/>
    <w:rsid w:val="00CD2C2B"/>
    <w:rsid w:val="00CD2EBA"/>
    <w:rsid w:val="00CD3B29"/>
    <w:rsid w:val="00CD3EC5"/>
    <w:rsid w:val="00CD40F2"/>
    <w:rsid w:val="00CD507F"/>
    <w:rsid w:val="00CD515F"/>
    <w:rsid w:val="00CD752E"/>
    <w:rsid w:val="00CD7A83"/>
    <w:rsid w:val="00CE0E20"/>
    <w:rsid w:val="00CE2EA0"/>
    <w:rsid w:val="00CE7556"/>
    <w:rsid w:val="00CF0019"/>
    <w:rsid w:val="00CF16C3"/>
    <w:rsid w:val="00CF2E41"/>
    <w:rsid w:val="00CF66CA"/>
    <w:rsid w:val="00D00608"/>
    <w:rsid w:val="00D010C7"/>
    <w:rsid w:val="00D0415A"/>
    <w:rsid w:val="00D050B7"/>
    <w:rsid w:val="00D050D3"/>
    <w:rsid w:val="00D1458C"/>
    <w:rsid w:val="00D168AF"/>
    <w:rsid w:val="00D16D5E"/>
    <w:rsid w:val="00D214B1"/>
    <w:rsid w:val="00D22EFE"/>
    <w:rsid w:val="00D234CF"/>
    <w:rsid w:val="00D24902"/>
    <w:rsid w:val="00D261D6"/>
    <w:rsid w:val="00D26254"/>
    <w:rsid w:val="00D3070C"/>
    <w:rsid w:val="00D31EEE"/>
    <w:rsid w:val="00D3206E"/>
    <w:rsid w:val="00D32357"/>
    <w:rsid w:val="00D34C6C"/>
    <w:rsid w:val="00D4145B"/>
    <w:rsid w:val="00D41582"/>
    <w:rsid w:val="00D437E9"/>
    <w:rsid w:val="00D44013"/>
    <w:rsid w:val="00D44507"/>
    <w:rsid w:val="00D44E0A"/>
    <w:rsid w:val="00D46BDA"/>
    <w:rsid w:val="00D47415"/>
    <w:rsid w:val="00D51091"/>
    <w:rsid w:val="00D523D4"/>
    <w:rsid w:val="00D546C1"/>
    <w:rsid w:val="00D577B0"/>
    <w:rsid w:val="00D618B2"/>
    <w:rsid w:val="00D61E14"/>
    <w:rsid w:val="00D62743"/>
    <w:rsid w:val="00D62C55"/>
    <w:rsid w:val="00D63AB3"/>
    <w:rsid w:val="00D7069D"/>
    <w:rsid w:val="00D71A5E"/>
    <w:rsid w:val="00D730CA"/>
    <w:rsid w:val="00D7362D"/>
    <w:rsid w:val="00D73A97"/>
    <w:rsid w:val="00D73ABA"/>
    <w:rsid w:val="00D745AC"/>
    <w:rsid w:val="00D75FD5"/>
    <w:rsid w:val="00D77995"/>
    <w:rsid w:val="00D809AE"/>
    <w:rsid w:val="00D8254E"/>
    <w:rsid w:val="00D9230E"/>
    <w:rsid w:val="00D9474B"/>
    <w:rsid w:val="00D977A9"/>
    <w:rsid w:val="00DB0E1B"/>
    <w:rsid w:val="00DB0F54"/>
    <w:rsid w:val="00DB24FE"/>
    <w:rsid w:val="00DB3FF4"/>
    <w:rsid w:val="00DB414B"/>
    <w:rsid w:val="00DB4CA9"/>
    <w:rsid w:val="00DB79AC"/>
    <w:rsid w:val="00DC074D"/>
    <w:rsid w:val="00DC0D11"/>
    <w:rsid w:val="00DC136C"/>
    <w:rsid w:val="00DC515D"/>
    <w:rsid w:val="00DC5444"/>
    <w:rsid w:val="00DC75FD"/>
    <w:rsid w:val="00DD0BAB"/>
    <w:rsid w:val="00DD4150"/>
    <w:rsid w:val="00DD588C"/>
    <w:rsid w:val="00DE2327"/>
    <w:rsid w:val="00DE42C4"/>
    <w:rsid w:val="00DF0A21"/>
    <w:rsid w:val="00DF0BB7"/>
    <w:rsid w:val="00DF32CE"/>
    <w:rsid w:val="00DF409B"/>
    <w:rsid w:val="00DF5327"/>
    <w:rsid w:val="00DF6950"/>
    <w:rsid w:val="00DF7D23"/>
    <w:rsid w:val="00E05B31"/>
    <w:rsid w:val="00E066C7"/>
    <w:rsid w:val="00E06D64"/>
    <w:rsid w:val="00E07C93"/>
    <w:rsid w:val="00E11E62"/>
    <w:rsid w:val="00E141A6"/>
    <w:rsid w:val="00E20CD1"/>
    <w:rsid w:val="00E211A0"/>
    <w:rsid w:val="00E21B44"/>
    <w:rsid w:val="00E23A0F"/>
    <w:rsid w:val="00E25907"/>
    <w:rsid w:val="00E273F1"/>
    <w:rsid w:val="00E3241E"/>
    <w:rsid w:val="00E32587"/>
    <w:rsid w:val="00E33915"/>
    <w:rsid w:val="00E35381"/>
    <w:rsid w:val="00E409AE"/>
    <w:rsid w:val="00E419B6"/>
    <w:rsid w:val="00E4270A"/>
    <w:rsid w:val="00E42E51"/>
    <w:rsid w:val="00E46F63"/>
    <w:rsid w:val="00E51AF4"/>
    <w:rsid w:val="00E5233F"/>
    <w:rsid w:val="00E52D07"/>
    <w:rsid w:val="00E52EB6"/>
    <w:rsid w:val="00E6024A"/>
    <w:rsid w:val="00E61E85"/>
    <w:rsid w:val="00E621C0"/>
    <w:rsid w:val="00E63175"/>
    <w:rsid w:val="00E63A15"/>
    <w:rsid w:val="00E63ACF"/>
    <w:rsid w:val="00E713A4"/>
    <w:rsid w:val="00E71EFF"/>
    <w:rsid w:val="00E72F32"/>
    <w:rsid w:val="00E73864"/>
    <w:rsid w:val="00E777A8"/>
    <w:rsid w:val="00E81FFC"/>
    <w:rsid w:val="00E8267B"/>
    <w:rsid w:val="00E866D2"/>
    <w:rsid w:val="00E91EB6"/>
    <w:rsid w:val="00E9463C"/>
    <w:rsid w:val="00EA02CB"/>
    <w:rsid w:val="00EA65F3"/>
    <w:rsid w:val="00EA7AEF"/>
    <w:rsid w:val="00EB0890"/>
    <w:rsid w:val="00EB3673"/>
    <w:rsid w:val="00EB5069"/>
    <w:rsid w:val="00EB5509"/>
    <w:rsid w:val="00EB6446"/>
    <w:rsid w:val="00EC6513"/>
    <w:rsid w:val="00ED0758"/>
    <w:rsid w:val="00ED13FF"/>
    <w:rsid w:val="00ED2563"/>
    <w:rsid w:val="00ED32E6"/>
    <w:rsid w:val="00ED3B0B"/>
    <w:rsid w:val="00EE23AF"/>
    <w:rsid w:val="00EE37A6"/>
    <w:rsid w:val="00EE7AC5"/>
    <w:rsid w:val="00EF1931"/>
    <w:rsid w:val="00EF2346"/>
    <w:rsid w:val="00EF3658"/>
    <w:rsid w:val="00EF3B87"/>
    <w:rsid w:val="00EF500E"/>
    <w:rsid w:val="00F022B8"/>
    <w:rsid w:val="00F0386B"/>
    <w:rsid w:val="00F115CB"/>
    <w:rsid w:val="00F15BDD"/>
    <w:rsid w:val="00F16F03"/>
    <w:rsid w:val="00F31219"/>
    <w:rsid w:val="00F33857"/>
    <w:rsid w:val="00F33C26"/>
    <w:rsid w:val="00F34812"/>
    <w:rsid w:val="00F40BEF"/>
    <w:rsid w:val="00F40E3F"/>
    <w:rsid w:val="00F41174"/>
    <w:rsid w:val="00F41779"/>
    <w:rsid w:val="00F426A0"/>
    <w:rsid w:val="00F460CC"/>
    <w:rsid w:val="00F50EBE"/>
    <w:rsid w:val="00F53969"/>
    <w:rsid w:val="00F606D4"/>
    <w:rsid w:val="00F61AEB"/>
    <w:rsid w:val="00F66C43"/>
    <w:rsid w:val="00F67730"/>
    <w:rsid w:val="00F70EB8"/>
    <w:rsid w:val="00F70F80"/>
    <w:rsid w:val="00F72D16"/>
    <w:rsid w:val="00F732F8"/>
    <w:rsid w:val="00F7439E"/>
    <w:rsid w:val="00F759EF"/>
    <w:rsid w:val="00F75A3C"/>
    <w:rsid w:val="00F7747C"/>
    <w:rsid w:val="00F8147D"/>
    <w:rsid w:val="00F822D4"/>
    <w:rsid w:val="00F86853"/>
    <w:rsid w:val="00F8705D"/>
    <w:rsid w:val="00F8711B"/>
    <w:rsid w:val="00F8730E"/>
    <w:rsid w:val="00F90075"/>
    <w:rsid w:val="00F940A2"/>
    <w:rsid w:val="00F95D6E"/>
    <w:rsid w:val="00FA43B8"/>
    <w:rsid w:val="00FA5564"/>
    <w:rsid w:val="00FA58EE"/>
    <w:rsid w:val="00FA78F7"/>
    <w:rsid w:val="00FB5027"/>
    <w:rsid w:val="00FB5BC0"/>
    <w:rsid w:val="00FB5CE5"/>
    <w:rsid w:val="00FB7149"/>
    <w:rsid w:val="00FB7A6E"/>
    <w:rsid w:val="00FB7D19"/>
    <w:rsid w:val="00FC026F"/>
    <w:rsid w:val="00FC1446"/>
    <w:rsid w:val="00FC411C"/>
    <w:rsid w:val="00FC4AFE"/>
    <w:rsid w:val="00FC4EF1"/>
    <w:rsid w:val="00FC5815"/>
    <w:rsid w:val="00FC5E5F"/>
    <w:rsid w:val="00FC64BC"/>
    <w:rsid w:val="00FC66B4"/>
    <w:rsid w:val="00FC66FE"/>
    <w:rsid w:val="00FC6B9A"/>
    <w:rsid w:val="00FC7B98"/>
    <w:rsid w:val="00FD231F"/>
    <w:rsid w:val="00FD625C"/>
    <w:rsid w:val="00FD63CF"/>
    <w:rsid w:val="00FD65C0"/>
    <w:rsid w:val="00FD74BD"/>
    <w:rsid w:val="00FE2F2F"/>
    <w:rsid w:val="00FE419B"/>
    <w:rsid w:val="00FE605B"/>
    <w:rsid w:val="00FF041D"/>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iniHeading">
    <w:name w:val="MiniHeading"/>
    <w:basedOn w:val="a"/>
    <w:qFormat/>
    <w:rsid w:val="006223D1"/>
    <w:pPr>
      <w:widowControl/>
      <w:spacing w:before="180"/>
      <w:jc w:val="left"/>
    </w:pPr>
    <w:rPr>
      <w:rFonts w:ascii="Arial" w:eastAsia="MS Mincho" w:hAnsi="Arial" w:cs="Times New Roman"/>
      <w:i/>
      <w:noProof/>
      <w:kern w:val="0"/>
      <w:sz w:val="18"/>
      <w:szCs w:val="24"/>
      <w:u w:val="single"/>
      <w:lang w:eastAsia="en-GB"/>
    </w:rPr>
  </w:style>
  <w:style w:type="paragraph" w:customStyle="1" w:styleId="Agreement">
    <w:name w:val="Agreement"/>
    <w:basedOn w:val="a"/>
    <w:next w:val="Doc-text2"/>
    <w:uiPriority w:val="99"/>
    <w:qFormat/>
    <w:rsid w:val="006223D1"/>
    <w:pPr>
      <w:widowControl/>
      <w:numPr>
        <w:numId w:val="31"/>
      </w:numPr>
      <w:spacing w:before="60"/>
      <w:jc w:val="left"/>
    </w:pPr>
    <w:rPr>
      <w:rFonts w:ascii="Arial" w:eastAsia="MS Mincho" w:hAnsi="Arial" w:cs="Times New Roman"/>
      <w:b/>
      <w:kern w:val="0"/>
      <w:sz w:val="20"/>
      <w:szCs w:val="24"/>
      <w:lang w:val="en-GB" w:eastAsia="en-GB"/>
    </w:rPr>
  </w:style>
  <w:style w:type="character" w:customStyle="1" w:styleId="PLChar">
    <w:name w:val="PL Char"/>
    <w:link w:val="PL"/>
    <w:qFormat/>
    <w:locked/>
    <w:rsid w:val="0034333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3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Doc-title">
    <w:name w:val="Doc-title"/>
    <w:basedOn w:val="a"/>
    <w:next w:val="Doc-text2"/>
    <w:link w:val="Doc-titleChar"/>
    <w:qFormat/>
    <w:rsid w:val="00FC5815"/>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FC5815"/>
    <w:rPr>
      <w:rFonts w:ascii="Arial" w:eastAsia="MS Mincho" w:hAnsi="Arial" w:cs="Times New Roman"/>
      <w:kern w:val="0"/>
      <w:sz w:val="20"/>
      <w:szCs w:val="24"/>
      <w:lang w:val="en-GB" w:eastAsia="en-GB"/>
    </w:rPr>
  </w:style>
  <w:style w:type="table" w:customStyle="1" w:styleId="TableGrid2">
    <w:name w:val="TableGrid2"/>
    <w:basedOn w:val="a1"/>
    <w:next w:val="a9"/>
    <w:qFormat/>
    <w:rsid w:val="00F3481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7923">
      <w:bodyDiv w:val="1"/>
      <w:marLeft w:val="0"/>
      <w:marRight w:val="0"/>
      <w:marTop w:val="0"/>
      <w:marBottom w:val="0"/>
      <w:divBdr>
        <w:top w:val="none" w:sz="0" w:space="0" w:color="auto"/>
        <w:left w:val="none" w:sz="0" w:space="0" w:color="auto"/>
        <w:bottom w:val="none" w:sz="0" w:space="0" w:color="auto"/>
        <w:right w:val="none" w:sz="0" w:space="0" w:color="auto"/>
      </w:divBdr>
    </w:div>
    <w:div w:id="315453248">
      <w:bodyDiv w:val="1"/>
      <w:marLeft w:val="0"/>
      <w:marRight w:val="0"/>
      <w:marTop w:val="0"/>
      <w:marBottom w:val="0"/>
      <w:divBdr>
        <w:top w:val="none" w:sz="0" w:space="0" w:color="auto"/>
        <w:left w:val="none" w:sz="0" w:space="0" w:color="auto"/>
        <w:bottom w:val="none" w:sz="0" w:space="0" w:color="auto"/>
        <w:right w:val="none" w:sz="0" w:space="0" w:color="auto"/>
      </w:divBdr>
    </w:div>
    <w:div w:id="354696402">
      <w:bodyDiv w:val="1"/>
      <w:marLeft w:val="0"/>
      <w:marRight w:val="0"/>
      <w:marTop w:val="0"/>
      <w:marBottom w:val="0"/>
      <w:divBdr>
        <w:top w:val="none" w:sz="0" w:space="0" w:color="auto"/>
        <w:left w:val="none" w:sz="0" w:space="0" w:color="auto"/>
        <w:bottom w:val="none" w:sz="0" w:space="0" w:color="auto"/>
        <w:right w:val="none" w:sz="0" w:space="0" w:color="auto"/>
      </w:divBdr>
    </w:div>
    <w:div w:id="368993865">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604117247">
      <w:bodyDiv w:val="1"/>
      <w:marLeft w:val="0"/>
      <w:marRight w:val="0"/>
      <w:marTop w:val="0"/>
      <w:marBottom w:val="0"/>
      <w:divBdr>
        <w:top w:val="none" w:sz="0" w:space="0" w:color="auto"/>
        <w:left w:val="none" w:sz="0" w:space="0" w:color="auto"/>
        <w:bottom w:val="none" w:sz="0" w:space="0" w:color="auto"/>
        <w:right w:val="none" w:sz="0" w:space="0" w:color="auto"/>
      </w:divBdr>
    </w:div>
    <w:div w:id="609700734">
      <w:bodyDiv w:val="1"/>
      <w:marLeft w:val="0"/>
      <w:marRight w:val="0"/>
      <w:marTop w:val="0"/>
      <w:marBottom w:val="0"/>
      <w:divBdr>
        <w:top w:val="none" w:sz="0" w:space="0" w:color="auto"/>
        <w:left w:val="none" w:sz="0" w:space="0" w:color="auto"/>
        <w:bottom w:val="none" w:sz="0" w:space="0" w:color="auto"/>
        <w:right w:val="none" w:sz="0" w:space="0" w:color="auto"/>
      </w:divBdr>
    </w:div>
    <w:div w:id="695429643">
      <w:bodyDiv w:val="1"/>
      <w:marLeft w:val="0"/>
      <w:marRight w:val="0"/>
      <w:marTop w:val="0"/>
      <w:marBottom w:val="0"/>
      <w:divBdr>
        <w:top w:val="none" w:sz="0" w:space="0" w:color="auto"/>
        <w:left w:val="none" w:sz="0" w:space="0" w:color="auto"/>
        <w:bottom w:val="none" w:sz="0" w:space="0" w:color="auto"/>
        <w:right w:val="none" w:sz="0" w:space="0" w:color="auto"/>
      </w:divBdr>
    </w:div>
    <w:div w:id="737943487">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5767302">
      <w:bodyDiv w:val="1"/>
      <w:marLeft w:val="0"/>
      <w:marRight w:val="0"/>
      <w:marTop w:val="0"/>
      <w:marBottom w:val="0"/>
      <w:divBdr>
        <w:top w:val="none" w:sz="0" w:space="0" w:color="auto"/>
        <w:left w:val="none" w:sz="0" w:space="0" w:color="auto"/>
        <w:bottom w:val="none" w:sz="0" w:space="0" w:color="auto"/>
        <w:right w:val="none" w:sz="0" w:space="0" w:color="auto"/>
      </w:divBdr>
    </w:div>
    <w:div w:id="1228223914">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13409031">
      <w:bodyDiv w:val="1"/>
      <w:marLeft w:val="0"/>
      <w:marRight w:val="0"/>
      <w:marTop w:val="0"/>
      <w:marBottom w:val="0"/>
      <w:divBdr>
        <w:top w:val="none" w:sz="0" w:space="0" w:color="auto"/>
        <w:left w:val="none" w:sz="0" w:space="0" w:color="auto"/>
        <w:bottom w:val="none" w:sz="0" w:space="0" w:color="auto"/>
        <w:right w:val="none" w:sz="0" w:space="0" w:color="auto"/>
      </w:divBdr>
    </w:div>
    <w:div w:id="1323699240">
      <w:bodyDiv w:val="1"/>
      <w:marLeft w:val="0"/>
      <w:marRight w:val="0"/>
      <w:marTop w:val="0"/>
      <w:marBottom w:val="0"/>
      <w:divBdr>
        <w:top w:val="none" w:sz="0" w:space="0" w:color="auto"/>
        <w:left w:val="none" w:sz="0" w:space="0" w:color="auto"/>
        <w:bottom w:val="none" w:sz="0" w:space="0" w:color="auto"/>
        <w:right w:val="none" w:sz="0" w:space="0" w:color="auto"/>
      </w:divBdr>
    </w:div>
    <w:div w:id="1477407411">
      <w:bodyDiv w:val="1"/>
      <w:marLeft w:val="0"/>
      <w:marRight w:val="0"/>
      <w:marTop w:val="0"/>
      <w:marBottom w:val="0"/>
      <w:divBdr>
        <w:top w:val="none" w:sz="0" w:space="0" w:color="auto"/>
        <w:left w:val="none" w:sz="0" w:space="0" w:color="auto"/>
        <w:bottom w:val="none" w:sz="0" w:space="0" w:color="auto"/>
        <w:right w:val="none" w:sz="0" w:space="0" w:color="auto"/>
      </w:divBdr>
    </w:div>
    <w:div w:id="1487012706">
      <w:bodyDiv w:val="1"/>
      <w:marLeft w:val="0"/>
      <w:marRight w:val="0"/>
      <w:marTop w:val="0"/>
      <w:marBottom w:val="0"/>
      <w:divBdr>
        <w:top w:val="none" w:sz="0" w:space="0" w:color="auto"/>
        <w:left w:val="none" w:sz="0" w:space="0" w:color="auto"/>
        <w:bottom w:val="none" w:sz="0" w:space="0" w:color="auto"/>
        <w:right w:val="none" w:sz="0" w:space="0" w:color="auto"/>
      </w:divBdr>
    </w:div>
    <w:div w:id="1515922983">
      <w:bodyDiv w:val="1"/>
      <w:marLeft w:val="0"/>
      <w:marRight w:val="0"/>
      <w:marTop w:val="0"/>
      <w:marBottom w:val="0"/>
      <w:divBdr>
        <w:top w:val="none" w:sz="0" w:space="0" w:color="auto"/>
        <w:left w:val="none" w:sz="0" w:space="0" w:color="auto"/>
        <w:bottom w:val="none" w:sz="0" w:space="0" w:color="auto"/>
        <w:right w:val="none" w:sz="0" w:space="0" w:color="auto"/>
      </w:divBdr>
    </w:div>
    <w:div w:id="1529025669">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84353262">
      <w:bodyDiv w:val="1"/>
      <w:marLeft w:val="0"/>
      <w:marRight w:val="0"/>
      <w:marTop w:val="0"/>
      <w:marBottom w:val="0"/>
      <w:divBdr>
        <w:top w:val="none" w:sz="0" w:space="0" w:color="auto"/>
        <w:left w:val="none" w:sz="0" w:space="0" w:color="auto"/>
        <w:bottom w:val="none" w:sz="0" w:space="0" w:color="auto"/>
        <w:right w:val="none" w:sz="0" w:space="0" w:color="auto"/>
      </w:divBdr>
    </w:div>
    <w:div w:id="1704360766">
      <w:bodyDiv w:val="1"/>
      <w:marLeft w:val="0"/>
      <w:marRight w:val="0"/>
      <w:marTop w:val="0"/>
      <w:marBottom w:val="0"/>
      <w:divBdr>
        <w:top w:val="none" w:sz="0" w:space="0" w:color="auto"/>
        <w:left w:val="none" w:sz="0" w:space="0" w:color="auto"/>
        <w:bottom w:val="none" w:sz="0" w:space="0" w:color="auto"/>
        <w:right w:val="none" w:sz="0" w:space="0" w:color="auto"/>
      </w:divBdr>
    </w:div>
    <w:div w:id="1717043751">
      <w:bodyDiv w:val="1"/>
      <w:marLeft w:val="0"/>
      <w:marRight w:val="0"/>
      <w:marTop w:val="0"/>
      <w:marBottom w:val="0"/>
      <w:divBdr>
        <w:top w:val="none" w:sz="0" w:space="0" w:color="auto"/>
        <w:left w:val="none" w:sz="0" w:space="0" w:color="auto"/>
        <w:bottom w:val="none" w:sz="0" w:space="0" w:color="auto"/>
        <w:right w:val="none" w:sz="0" w:space="0" w:color="auto"/>
      </w:divBdr>
    </w:div>
    <w:div w:id="1726181076">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821461862">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E88C1874-A3A9-407E-8013-688C03421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3</Pages>
  <Words>993</Words>
  <Characters>5666</Characters>
  <Application>Microsoft Office Word</Application>
  <DocSecurity>0</DocSecurity>
  <Lines>47</Lines>
  <Paragraphs>13</Paragraphs>
  <ScaleCrop>false</ScaleCrop>
  <Company>vivo</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434</cp:revision>
  <dcterms:created xsi:type="dcterms:W3CDTF">2024-07-30T02:47:00Z</dcterms:created>
  <dcterms:modified xsi:type="dcterms:W3CDTF">2024-11-08T07:58:00Z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